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sz w:val="36"/>
          <w:szCs w:val="36"/>
        </w:rPr>
      </w:pPr>
      <w:r>
        <w:rPr>
          <w:rFonts w:hint="eastAsia" w:ascii="黑体" w:hAnsi="黑体" w:eastAsia="黑体"/>
          <w:sz w:val="36"/>
          <w:szCs w:val="36"/>
        </w:rPr>
        <w:t>上海市加油站布局专项规划</w:t>
      </w:r>
    </w:p>
    <w:p>
      <w:pPr>
        <w:ind w:firstLine="0" w:firstLineChars="0"/>
        <w:jc w:val="center"/>
        <w:rPr>
          <w:rFonts w:ascii="黑体" w:hAnsi="黑体" w:eastAsia="黑体"/>
          <w:sz w:val="36"/>
          <w:szCs w:val="36"/>
        </w:rPr>
      </w:pPr>
      <w:r>
        <w:rPr>
          <w:rFonts w:hint="eastAsia" w:ascii="黑体" w:hAnsi="黑体" w:eastAsia="黑体"/>
          <w:sz w:val="36"/>
          <w:szCs w:val="36"/>
        </w:rPr>
        <w:t>（2021-2035年）</w:t>
      </w:r>
    </w:p>
    <w:p>
      <w:pPr>
        <w:ind w:firstLine="0" w:firstLineChars="0"/>
        <w:jc w:val="center"/>
        <w:rPr>
          <w:rFonts w:ascii="黑体" w:hAnsi="黑体" w:eastAsia="黑体"/>
        </w:rPr>
      </w:pPr>
      <w:r>
        <w:rPr>
          <w:rFonts w:ascii="黑体" w:hAnsi="黑体" w:eastAsia="黑体"/>
        </w:rPr>
        <w:t>（</w:t>
      </w:r>
      <w:r>
        <w:rPr>
          <w:rFonts w:hint="eastAsia" w:ascii="黑体" w:hAnsi="黑体" w:eastAsia="黑体"/>
        </w:rPr>
        <w:t>草案公示稿）</w:t>
      </w:r>
    </w:p>
    <w:p>
      <w:pPr>
        <w:pStyle w:val="5"/>
        <w:numPr>
          <w:ilvl w:val="0"/>
          <w:numId w:val="1"/>
        </w:numPr>
        <w:ind w:left="0" w:firstLine="0" w:firstLineChars="0"/>
        <w:jc w:val="left"/>
        <w:outlineLvl w:val="0"/>
        <w:rPr>
          <w:rFonts w:ascii="黑体" w:hAnsi="黑体" w:eastAsia="黑体"/>
          <w:sz w:val="32"/>
        </w:rPr>
      </w:pPr>
      <w:r>
        <w:rPr>
          <w:rFonts w:hint="eastAsia" w:ascii="黑体" w:hAnsi="黑体" w:eastAsia="黑体"/>
          <w:sz w:val="32"/>
        </w:rPr>
        <w:t>规划背景</w:t>
      </w:r>
    </w:p>
    <w:p>
      <w:pPr>
        <w:ind w:firstLine="560"/>
      </w:pPr>
      <w:r>
        <w:rPr>
          <w:rFonts w:hint="eastAsia"/>
        </w:rPr>
        <w:t>加油站是交通体系运行保障的基础设施，也是城市基础保障设施之一。</w:t>
      </w:r>
      <w:r>
        <w:rPr>
          <w:rFonts w:hint="eastAsia"/>
          <w:color w:val="000000"/>
          <w:szCs w:val="32"/>
        </w:rPr>
        <w:t>为</w:t>
      </w:r>
      <w:r>
        <w:rPr>
          <w:rFonts w:hint="eastAsia"/>
        </w:rPr>
        <w:t>保障上海市成品油管理改革、优化加油站空间布局，在行业发展规划和“上海2035”总体规划的指导下，开展《上海市加油站布局专项规划（2021-3035年）》，以提升成品油市场服务效率，促进行业健康有序发展。</w:t>
      </w:r>
    </w:p>
    <w:p>
      <w:pPr>
        <w:pStyle w:val="5"/>
        <w:numPr>
          <w:ilvl w:val="0"/>
          <w:numId w:val="1"/>
        </w:numPr>
        <w:ind w:left="0" w:firstLine="0" w:firstLineChars="0"/>
        <w:jc w:val="left"/>
        <w:outlineLvl w:val="0"/>
        <w:rPr>
          <w:rFonts w:ascii="黑体" w:hAnsi="黑体" w:eastAsia="黑体"/>
          <w:sz w:val="32"/>
        </w:rPr>
      </w:pPr>
      <w:r>
        <w:rPr>
          <w:rFonts w:hint="eastAsia" w:ascii="黑体" w:hAnsi="黑体" w:eastAsia="黑体"/>
          <w:sz w:val="32"/>
        </w:rPr>
        <w:t>规划范围、规划期限</w:t>
      </w:r>
    </w:p>
    <w:p>
      <w:pPr>
        <w:pStyle w:val="5"/>
        <w:numPr>
          <w:ilvl w:val="0"/>
          <w:numId w:val="2"/>
        </w:numPr>
        <w:ind w:left="728" w:leftChars="177" w:hanging="232" w:hangingChars="83"/>
        <w:jc w:val="left"/>
        <w:outlineLvl w:val="1"/>
        <w:rPr>
          <w:rFonts w:ascii="黑体" w:hAnsi="黑体" w:eastAsia="黑体"/>
        </w:rPr>
      </w:pPr>
      <w:r>
        <w:rPr>
          <w:rFonts w:hint="eastAsia" w:ascii="黑体" w:hAnsi="黑体" w:eastAsia="黑体"/>
        </w:rPr>
        <w:t>规划范围及对象</w:t>
      </w:r>
    </w:p>
    <w:p>
      <w:pPr>
        <w:ind w:firstLine="560"/>
      </w:pPr>
      <w:r>
        <w:rPr>
          <w:rFonts w:hint="eastAsia"/>
        </w:rPr>
        <w:t>本次规划范围为上海市行政辖区陆域范围</w:t>
      </w:r>
      <w:r>
        <w:t xml:space="preserve">6833 </w:t>
      </w:r>
      <w:r>
        <w:rPr>
          <w:rFonts w:hint="eastAsia"/>
        </w:rPr>
        <w:t>平方公里，以公共加油站和其他具备加油功能的合建站为规划对象，不含水上加油（气）站、纯加气站。</w:t>
      </w:r>
    </w:p>
    <w:p>
      <w:pPr>
        <w:pStyle w:val="5"/>
        <w:numPr>
          <w:ilvl w:val="0"/>
          <w:numId w:val="2"/>
        </w:numPr>
        <w:ind w:left="728" w:leftChars="177" w:hanging="232" w:hangingChars="83"/>
        <w:jc w:val="left"/>
        <w:outlineLvl w:val="1"/>
        <w:rPr>
          <w:rFonts w:ascii="黑体" w:hAnsi="黑体" w:eastAsia="黑体"/>
        </w:rPr>
      </w:pPr>
      <w:r>
        <w:rPr>
          <w:rFonts w:hint="eastAsia" w:ascii="黑体" w:hAnsi="黑体" w:eastAsia="黑体"/>
        </w:rPr>
        <w:t>规划期限</w:t>
      </w:r>
    </w:p>
    <w:p>
      <w:pPr>
        <w:ind w:firstLine="560"/>
      </w:pPr>
      <w:r>
        <w:rPr>
          <w:rFonts w:hint="eastAsia"/>
        </w:rPr>
        <w:t>本次规划期限2021年-2035年。</w:t>
      </w:r>
    </w:p>
    <w:p>
      <w:pPr>
        <w:pStyle w:val="5"/>
        <w:numPr>
          <w:ilvl w:val="0"/>
          <w:numId w:val="1"/>
        </w:numPr>
        <w:ind w:left="0" w:firstLine="0" w:firstLineChars="0"/>
        <w:jc w:val="left"/>
        <w:outlineLvl w:val="0"/>
        <w:rPr>
          <w:rFonts w:ascii="黑体" w:hAnsi="黑体" w:eastAsia="黑体"/>
          <w:sz w:val="32"/>
        </w:rPr>
      </w:pPr>
      <w:r>
        <w:rPr>
          <w:rFonts w:hint="eastAsia" w:ascii="黑体" w:hAnsi="黑体" w:eastAsia="黑体"/>
          <w:sz w:val="32"/>
        </w:rPr>
        <w:t>规划策略</w:t>
      </w:r>
    </w:p>
    <w:p>
      <w:pPr>
        <w:ind w:firstLine="560"/>
      </w:pPr>
      <w:r>
        <w:rPr>
          <w:rFonts w:hint="eastAsia"/>
        </w:rPr>
        <w:t>1、以行业发展规划为指导，编制总体规划层次的专项规划，落实加油站空间布局。</w:t>
      </w:r>
    </w:p>
    <w:p>
      <w:pPr>
        <w:ind w:firstLine="560"/>
      </w:pPr>
      <w:r>
        <w:rPr>
          <w:rFonts w:hint="eastAsia"/>
        </w:rPr>
        <w:t>2、协同空间发展，充分考虑区域发展现状和功能定位，站点布局体现区域差异化。</w:t>
      </w:r>
    </w:p>
    <w:p>
      <w:pPr>
        <w:ind w:firstLine="560"/>
      </w:pPr>
      <w:r>
        <w:rPr>
          <w:rFonts w:hint="eastAsia"/>
        </w:rPr>
        <w:t>3、充分衔接在编规划，加强规划衔接，保障布局站点的可落地、可实施。</w:t>
      </w:r>
    </w:p>
    <w:p>
      <w:pPr>
        <w:ind w:firstLine="560"/>
      </w:pPr>
      <w:r>
        <w:rPr>
          <w:rFonts w:hint="eastAsia"/>
        </w:rPr>
        <w:t>4、统筹协调其他能源设施，预留一定弹性，以适应未来能源设施的转型发展。</w:t>
      </w:r>
    </w:p>
    <w:p>
      <w:pPr>
        <w:pStyle w:val="5"/>
        <w:numPr>
          <w:ilvl w:val="0"/>
          <w:numId w:val="1"/>
        </w:numPr>
        <w:ind w:left="0" w:firstLine="0" w:firstLineChars="0"/>
        <w:jc w:val="left"/>
        <w:outlineLvl w:val="0"/>
        <w:rPr>
          <w:rFonts w:ascii="黑体" w:hAnsi="黑体" w:eastAsia="黑体"/>
          <w:sz w:val="32"/>
        </w:rPr>
      </w:pPr>
      <w:r>
        <w:rPr>
          <w:rFonts w:hint="eastAsia" w:ascii="黑体" w:hAnsi="黑体" w:eastAsia="黑体"/>
          <w:sz w:val="32"/>
        </w:rPr>
        <w:t>主要内容</w:t>
      </w:r>
    </w:p>
    <w:p>
      <w:pPr>
        <w:pStyle w:val="5"/>
        <w:numPr>
          <w:ilvl w:val="0"/>
          <w:numId w:val="3"/>
        </w:numPr>
        <w:ind w:left="904" w:leftChars="202" w:hanging="338" w:hangingChars="121"/>
        <w:jc w:val="left"/>
        <w:outlineLvl w:val="1"/>
        <w:rPr>
          <w:rFonts w:ascii="黑体" w:hAnsi="黑体" w:eastAsia="黑体"/>
        </w:rPr>
      </w:pPr>
      <w:r>
        <w:rPr>
          <w:rFonts w:hint="eastAsia" w:ascii="黑体" w:hAnsi="黑体" w:eastAsia="黑体"/>
        </w:rPr>
        <w:t>目标愿景</w:t>
      </w:r>
    </w:p>
    <w:p>
      <w:pPr>
        <w:kinsoku w:val="0"/>
        <w:autoSpaceDE w:val="0"/>
        <w:autoSpaceDN w:val="0"/>
        <w:spacing w:after="156"/>
        <w:ind w:firstLine="560"/>
      </w:pPr>
      <w:r>
        <w:rPr>
          <w:rFonts w:hint="eastAsia"/>
        </w:rPr>
        <w:t>依据行业发展规划和国土空间规划，规划</w:t>
      </w:r>
      <w:r>
        <w:rPr>
          <w:rFonts w:hint="eastAsia" w:ascii="Segoe UI Symbol" w:hAnsi="Segoe UI Symbol" w:cs="Segoe UI Symbol"/>
        </w:rPr>
        <w:t>至</w:t>
      </w:r>
      <w:r>
        <w:rPr>
          <w:rFonts w:hint="eastAsia"/>
        </w:rPr>
        <w:t>2035年，全市建成总量合理、布局均衡、便捷高效、绿色综合的交通能源终端供给网络。</w:t>
      </w:r>
    </w:p>
    <w:p>
      <w:pPr>
        <w:pStyle w:val="5"/>
        <w:numPr>
          <w:ilvl w:val="0"/>
          <w:numId w:val="3"/>
        </w:numPr>
        <w:ind w:left="907" w:leftChars="177" w:hanging="411" w:hangingChars="147"/>
        <w:jc w:val="left"/>
        <w:outlineLvl w:val="1"/>
        <w:rPr>
          <w:rFonts w:ascii="黑体" w:hAnsi="黑体" w:eastAsia="黑体"/>
        </w:rPr>
      </w:pPr>
      <w:r>
        <w:rPr>
          <w:rFonts w:hint="eastAsia" w:ascii="黑体" w:hAnsi="黑体" w:eastAsia="黑体"/>
        </w:rPr>
        <w:t>布局原则</w:t>
      </w:r>
    </w:p>
    <w:p>
      <w:pPr>
        <w:kinsoku w:val="0"/>
        <w:autoSpaceDE w:val="0"/>
        <w:autoSpaceDN w:val="0"/>
        <w:spacing w:after="156"/>
        <w:ind w:firstLine="560"/>
      </w:pPr>
      <w:r>
        <w:rPr>
          <w:rFonts w:hint="eastAsia"/>
        </w:rPr>
        <w:t>规模，匹配燃油保障需求，并预留一定弹性。</w:t>
      </w:r>
    </w:p>
    <w:p>
      <w:pPr>
        <w:kinsoku w:val="0"/>
        <w:autoSpaceDE w:val="0"/>
        <w:autoSpaceDN w:val="0"/>
        <w:spacing w:after="156"/>
        <w:ind w:firstLine="560"/>
      </w:pPr>
      <w:r>
        <w:rPr>
          <w:rFonts w:hint="eastAsia"/>
        </w:rPr>
        <w:t>布局，匹配区域发展定位和功能布局。</w:t>
      </w:r>
    </w:p>
    <w:p>
      <w:pPr>
        <w:kinsoku w:val="0"/>
        <w:autoSpaceDE w:val="0"/>
        <w:autoSpaceDN w:val="0"/>
        <w:spacing w:after="156"/>
        <w:ind w:firstLine="560"/>
      </w:pPr>
      <w:r>
        <w:rPr>
          <w:rFonts w:hint="eastAsia"/>
        </w:rPr>
        <w:t>功能，匹配能源转型需求，倡导加油站功能复合化、集约化。</w:t>
      </w:r>
    </w:p>
    <w:p>
      <w:pPr>
        <w:kinsoku w:val="0"/>
        <w:autoSpaceDE w:val="0"/>
        <w:autoSpaceDN w:val="0"/>
        <w:spacing w:after="156"/>
        <w:ind w:firstLine="560"/>
      </w:pPr>
      <w:r>
        <w:rPr>
          <w:rFonts w:hint="eastAsia"/>
        </w:rPr>
        <w:t>服务，匹配美好生活需求，提供便捷易达、高效优质服务。</w:t>
      </w:r>
    </w:p>
    <w:p>
      <w:pPr>
        <w:pStyle w:val="5"/>
        <w:numPr>
          <w:ilvl w:val="0"/>
          <w:numId w:val="3"/>
        </w:numPr>
        <w:ind w:left="907" w:leftChars="177" w:hanging="411" w:hangingChars="147"/>
        <w:jc w:val="left"/>
        <w:outlineLvl w:val="1"/>
        <w:rPr>
          <w:rFonts w:ascii="黑体" w:hAnsi="黑体" w:eastAsia="黑体"/>
        </w:rPr>
      </w:pPr>
      <w:r>
        <w:rPr>
          <w:rFonts w:hint="eastAsia" w:ascii="黑体" w:hAnsi="黑体" w:eastAsia="黑体"/>
        </w:rPr>
        <w:t>布局策略</w:t>
      </w:r>
    </w:p>
    <w:p>
      <w:pPr>
        <w:kinsoku w:val="0"/>
        <w:autoSpaceDE w:val="0"/>
        <w:autoSpaceDN w:val="0"/>
        <w:spacing w:after="156"/>
        <w:ind w:firstLine="560"/>
      </w:pPr>
      <w:r>
        <w:rPr>
          <w:rFonts w:hint="eastAsia"/>
        </w:rPr>
        <w:t>依据“上海2035”总体规划确定的城市空间功能分区，结合各个分区的发展定位和综合交通规划，以“稳、优、增、保”为布局策略。</w:t>
      </w:r>
    </w:p>
    <w:p>
      <w:pPr>
        <w:kinsoku w:val="0"/>
        <w:autoSpaceDE w:val="0"/>
        <w:autoSpaceDN w:val="0"/>
        <w:spacing w:after="156"/>
        <w:ind w:firstLine="560"/>
      </w:pPr>
      <w:r>
        <w:rPr>
          <w:rFonts w:hint="eastAsia"/>
        </w:rPr>
        <w:t>“稳”即稳定中心城区的加油站布局。</w:t>
      </w:r>
    </w:p>
    <w:p>
      <w:pPr>
        <w:kinsoku w:val="0"/>
        <w:autoSpaceDE w:val="0"/>
        <w:autoSpaceDN w:val="0"/>
        <w:spacing w:after="156"/>
        <w:ind w:firstLine="560"/>
      </w:pPr>
      <w:r>
        <w:rPr>
          <w:rFonts w:hint="eastAsia"/>
        </w:rPr>
        <w:t>“优”即优化主城片区加油站规划结构。</w:t>
      </w:r>
    </w:p>
    <w:p>
      <w:pPr>
        <w:kinsoku w:val="0"/>
        <w:autoSpaceDE w:val="0"/>
        <w:autoSpaceDN w:val="0"/>
        <w:spacing w:after="156"/>
        <w:ind w:firstLine="560"/>
      </w:pPr>
      <w:r>
        <w:rPr>
          <w:rFonts w:hint="eastAsia"/>
        </w:rPr>
        <w:t>“增”即增加郊区新城的站点规模。</w:t>
      </w:r>
    </w:p>
    <w:p>
      <w:pPr>
        <w:kinsoku w:val="0"/>
        <w:autoSpaceDE w:val="0"/>
        <w:autoSpaceDN w:val="0"/>
        <w:spacing w:after="156"/>
        <w:ind w:firstLine="560"/>
      </w:pPr>
      <w:r>
        <w:rPr>
          <w:rFonts w:hint="eastAsia"/>
        </w:rPr>
        <w:t>“保”即保障新市镇及乡村地区的分布密度。</w:t>
      </w:r>
    </w:p>
    <w:p>
      <w:pPr>
        <w:kinsoku w:val="0"/>
        <w:autoSpaceDE w:val="0"/>
        <w:autoSpaceDN w:val="0"/>
        <w:spacing w:after="156"/>
        <w:ind w:firstLine="560"/>
        <w:rPr>
          <w:rFonts w:hint="eastAsia"/>
        </w:rPr>
      </w:pPr>
    </w:p>
    <w:p>
      <w:pPr>
        <w:pStyle w:val="5"/>
        <w:numPr>
          <w:ilvl w:val="0"/>
          <w:numId w:val="3"/>
        </w:numPr>
        <w:ind w:left="907" w:leftChars="177" w:hanging="411" w:hangingChars="147"/>
        <w:jc w:val="left"/>
        <w:outlineLvl w:val="1"/>
        <w:rPr>
          <w:rFonts w:ascii="黑体" w:hAnsi="黑体" w:eastAsia="黑体"/>
        </w:rPr>
      </w:pPr>
      <w:r>
        <w:rPr>
          <w:rFonts w:hint="eastAsia" w:ascii="黑体" w:hAnsi="黑体" w:eastAsia="黑体"/>
        </w:rPr>
        <w:t>布局规划方案</w:t>
      </w:r>
    </w:p>
    <w:p>
      <w:pPr>
        <w:ind w:firstLine="560"/>
      </w:pPr>
      <w:r>
        <w:rPr>
          <w:rFonts w:hint="eastAsia"/>
        </w:rPr>
        <w:t>截至2020年底，上海市域范围内共有844个加油（气）站（不含水上加油（气）站、纯加气站）。本次规划在现状加油站基础上，结合加油站需求预测，按照服务对象、服务区域、服务类型的不同，对不同的地区采用差异化布局策略。</w:t>
      </w:r>
    </w:p>
    <w:p>
      <w:pPr>
        <w:ind w:firstLine="562"/>
      </w:pPr>
      <w:r>
        <w:rPr>
          <w:rFonts w:hint="eastAsia"/>
          <w:b/>
        </w:rPr>
        <w:t>加油站总量：</w:t>
      </w:r>
      <w:r>
        <w:rPr>
          <w:rFonts w:hint="eastAsia"/>
        </w:rPr>
        <w:t>规划年全市加油站总规模977个，其中：现状站点保留720个，迁建124个，为保证服务密度、弥补服务盲区，规划新建站点257个。规划站点规模相较现状增加133个，主要集中在中心城以外地区，其中新城地区增加39个，增幅35%。</w:t>
      </w:r>
    </w:p>
    <w:p>
      <w:pPr>
        <w:ind w:firstLine="562"/>
      </w:pPr>
      <w:r>
        <w:rPr>
          <w:rFonts w:hint="eastAsia"/>
          <w:b/>
        </w:rPr>
        <w:t>高速公路加油站：</w:t>
      </w:r>
      <w:r>
        <w:rPr>
          <w:rFonts w:hint="eastAsia"/>
        </w:rPr>
        <w:t>高速公路加油站是保障上海市航运中心和运输网络建设与运行的重要基础，高速公路加油站规模为47个。其中，现状保留站点44个，规划新建站点3个。</w:t>
      </w:r>
    </w:p>
    <w:p>
      <w:pPr>
        <w:ind w:firstLine="562"/>
      </w:pPr>
      <w:r>
        <w:rPr>
          <w:rFonts w:hint="eastAsia"/>
          <w:b/>
        </w:rPr>
        <w:t>综合能源站：</w:t>
      </w:r>
      <w:r>
        <w:rPr>
          <w:rFonts w:hint="eastAsia"/>
        </w:rPr>
        <w:t>协调上海市车用加氢站布局专项规划，全市规划油氢合建站共计47个。</w:t>
      </w:r>
    </w:p>
    <w:p>
      <w:pPr>
        <w:ind w:firstLine="562"/>
      </w:pPr>
      <w:r>
        <w:rPr>
          <w:rFonts w:hint="eastAsia"/>
          <w:b/>
        </w:rPr>
        <w:t>各区规划情况：</w:t>
      </w:r>
      <w:r>
        <w:rPr>
          <w:rFonts w:hint="eastAsia"/>
        </w:rPr>
        <w:t>规划站点规模主要增加在五大新城所在区，其中，浦东新区、松江区、青浦区、嘉定区分别增加47个、25个、20个、15个，总计10</w:t>
      </w:r>
      <w:r>
        <w:t>7</w:t>
      </w:r>
      <w:r>
        <w:rPr>
          <w:rFonts w:hint="eastAsia"/>
        </w:rPr>
        <w:t>个，占比</w:t>
      </w:r>
      <w:r>
        <w:t>80</w:t>
      </w:r>
      <w:r>
        <w:rPr>
          <w:rFonts w:hint="eastAsia"/>
        </w:rPr>
        <w:t>%；宝山区和闵行区分别增加7个和9个。中心城各区和崇明区站点规模基本维持现状。</w:t>
      </w:r>
    </w:p>
    <w:p>
      <w:pPr>
        <w:pStyle w:val="7"/>
        <w:rPr>
          <w:sz w:val="24"/>
          <w:szCs w:val="24"/>
        </w:rPr>
      </w:pPr>
      <w:r>
        <w:rPr>
          <w:rFonts w:hint="eastAsia"/>
          <w:sz w:val="24"/>
          <w:szCs w:val="24"/>
        </w:rPr>
        <w:t>规划年各区站点规模汇总表</w:t>
      </w:r>
    </w:p>
    <w:tbl>
      <w:tblPr>
        <w:tblStyle w:val="3"/>
        <w:tblW w:w="6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blHeader/>
          <w:jc w:val="center"/>
        </w:trPr>
        <w:tc>
          <w:tcPr>
            <w:tcW w:w="1980" w:type="dxa"/>
            <w:vAlign w:val="center"/>
          </w:tcPr>
          <w:p>
            <w:pPr>
              <w:pStyle w:val="8"/>
              <w:spacing w:after="0" w:afterLines="0"/>
              <w:rPr>
                <w:rFonts w:eastAsia="宋体"/>
                <w:b/>
                <w:bCs/>
                <w:sz w:val="24"/>
                <w:szCs w:val="24"/>
              </w:rPr>
            </w:pPr>
            <w:r>
              <w:rPr>
                <w:rFonts w:hint="eastAsia" w:eastAsia="宋体"/>
                <w:b/>
                <w:bCs/>
                <w:sz w:val="24"/>
                <w:szCs w:val="24"/>
              </w:rPr>
              <w:t>区名</w:t>
            </w:r>
          </w:p>
        </w:tc>
        <w:tc>
          <w:tcPr>
            <w:tcW w:w="2410" w:type="dxa"/>
            <w:vAlign w:val="center"/>
          </w:tcPr>
          <w:p>
            <w:pPr>
              <w:pStyle w:val="8"/>
              <w:spacing w:after="0" w:afterLines="0"/>
              <w:rPr>
                <w:rFonts w:eastAsia="宋体"/>
                <w:b/>
                <w:bCs/>
                <w:sz w:val="24"/>
                <w:szCs w:val="24"/>
              </w:rPr>
            </w:pPr>
            <w:r>
              <w:rPr>
                <w:rFonts w:hint="eastAsia" w:eastAsia="宋体"/>
                <w:b/>
                <w:bCs/>
                <w:sz w:val="24"/>
                <w:szCs w:val="24"/>
              </w:rPr>
              <w:t>现状规模（个）</w:t>
            </w:r>
          </w:p>
        </w:tc>
        <w:tc>
          <w:tcPr>
            <w:tcW w:w="2410" w:type="dxa"/>
            <w:vAlign w:val="center"/>
          </w:tcPr>
          <w:p>
            <w:pPr>
              <w:pStyle w:val="8"/>
              <w:spacing w:after="0" w:afterLines="0"/>
              <w:rPr>
                <w:rFonts w:eastAsia="宋体"/>
                <w:b/>
                <w:bCs/>
                <w:sz w:val="24"/>
                <w:szCs w:val="24"/>
              </w:rPr>
            </w:pPr>
            <w:r>
              <w:rPr>
                <w:rFonts w:hint="eastAsia" w:eastAsia="宋体"/>
                <w:b/>
                <w:bCs/>
                <w:sz w:val="24"/>
                <w:szCs w:val="24"/>
              </w:rPr>
              <w:t>规划规模（个）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黄浦区</w:t>
            </w:r>
          </w:p>
        </w:tc>
        <w:tc>
          <w:tcPr>
            <w:tcW w:w="2410" w:type="dxa"/>
            <w:vAlign w:val="center"/>
          </w:tcPr>
          <w:p>
            <w:pPr>
              <w:pStyle w:val="8"/>
              <w:spacing w:after="0" w:afterLines="0"/>
              <w:rPr>
                <w:rFonts w:eastAsia="宋体"/>
                <w:bCs/>
                <w:sz w:val="24"/>
                <w:szCs w:val="24"/>
              </w:rPr>
            </w:pPr>
            <w:r>
              <w:rPr>
                <w:rFonts w:hint="eastAsia" w:eastAsia="宋体"/>
                <w:bCs/>
                <w:sz w:val="24"/>
                <w:szCs w:val="24"/>
              </w:rPr>
              <w:t>12</w:t>
            </w:r>
          </w:p>
        </w:tc>
        <w:tc>
          <w:tcPr>
            <w:tcW w:w="2410" w:type="dxa"/>
            <w:vAlign w:val="center"/>
          </w:tcPr>
          <w:p>
            <w:pPr>
              <w:pStyle w:val="8"/>
              <w:spacing w:after="0" w:afterLines="0"/>
              <w:rPr>
                <w:rFonts w:eastAsia="宋体"/>
                <w:bCs/>
                <w:sz w:val="24"/>
                <w:szCs w:val="24"/>
              </w:rPr>
            </w:pPr>
            <w:r>
              <w:rPr>
                <w:rFonts w:hint="eastAsia" w:eastAsia="宋体"/>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徐汇区</w:t>
            </w:r>
          </w:p>
        </w:tc>
        <w:tc>
          <w:tcPr>
            <w:tcW w:w="2410" w:type="dxa"/>
            <w:vAlign w:val="center"/>
          </w:tcPr>
          <w:p>
            <w:pPr>
              <w:pStyle w:val="8"/>
              <w:spacing w:after="0" w:afterLines="0"/>
              <w:rPr>
                <w:rFonts w:eastAsia="宋体"/>
                <w:bCs/>
                <w:sz w:val="24"/>
                <w:szCs w:val="24"/>
              </w:rPr>
            </w:pPr>
            <w:r>
              <w:rPr>
                <w:rFonts w:hint="eastAsia" w:eastAsia="宋体"/>
                <w:bCs/>
                <w:sz w:val="24"/>
                <w:szCs w:val="24"/>
              </w:rPr>
              <w:t>23</w:t>
            </w:r>
          </w:p>
        </w:tc>
        <w:tc>
          <w:tcPr>
            <w:tcW w:w="2410" w:type="dxa"/>
            <w:vAlign w:val="center"/>
          </w:tcPr>
          <w:p>
            <w:pPr>
              <w:pStyle w:val="8"/>
              <w:spacing w:after="0" w:afterLines="0"/>
              <w:rPr>
                <w:rFonts w:eastAsia="宋体"/>
                <w:bCs/>
                <w:sz w:val="24"/>
                <w:szCs w:val="24"/>
              </w:rPr>
            </w:pPr>
            <w:r>
              <w:rPr>
                <w:rFonts w:hint="eastAsia" w:eastAsia="宋体"/>
                <w:bCs/>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长宁区</w:t>
            </w:r>
          </w:p>
        </w:tc>
        <w:tc>
          <w:tcPr>
            <w:tcW w:w="2410" w:type="dxa"/>
            <w:vAlign w:val="center"/>
          </w:tcPr>
          <w:p>
            <w:pPr>
              <w:pStyle w:val="8"/>
              <w:spacing w:after="0" w:afterLines="0"/>
              <w:rPr>
                <w:rFonts w:eastAsia="宋体"/>
                <w:bCs/>
                <w:sz w:val="24"/>
                <w:szCs w:val="24"/>
              </w:rPr>
            </w:pPr>
            <w:r>
              <w:rPr>
                <w:rFonts w:hint="eastAsia" w:eastAsia="宋体"/>
                <w:bCs/>
                <w:sz w:val="24"/>
                <w:szCs w:val="24"/>
              </w:rPr>
              <w:t>17</w:t>
            </w:r>
          </w:p>
        </w:tc>
        <w:tc>
          <w:tcPr>
            <w:tcW w:w="2410" w:type="dxa"/>
            <w:vAlign w:val="center"/>
          </w:tcPr>
          <w:p>
            <w:pPr>
              <w:pStyle w:val="8"/>
              <w:spacing w:after="0" w:afterLines="0"/>
              <w:rPr>
                <w:rFonts w:eastAsia="宋体"/>
                <w:bCs/>
                <w:sz w:val="24"/>
                <w:szCs w:val="24"/>
              </w:rPr>
            </w:pPr>
            <w:r>
              <w:rPr>
                <w:rFonts w:hint="eastAsia" w:eastAsia="宋体"/>
                <w:bCs/>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静安区</w:t>
            </w:r>
          </w:p>
        </w:tc>
        <w:tc>
          <w:tcPr>
            <w:tcW w:w="2410" w:type="dxa"/>
            <w:vAlign w:val="center"/>
          </w:tcPr>
          <w:p>
            <w:pPr>
              <w:pStyle w:val="8"/>
              <w:spacing w:after="0" w:afterLines="0"/>
              <w:rPr>
                <w:rFonts w:eastAsia="宋体"/>
                <w:bCs/>
                <w:sz w:val="24"/>
                <w:szCs w:val="24"/>
              </w:rPr>
            </w:pPr>
            <w:r>
              <w:rPr>
                <w:rFonts w:hint="eastAsia" w:eastAsia="宋体"/>
                <w:bCs/>
                <w:sz w:val="24"/>
                <w:szCs w:val="24"/>
              </w:rPr>
              <w:t>35</w:t>
            </w:r>
          </w:p>
        </w:tc>
        <w:tc>
          <w:tcPr>
            <w:tcW w:w="2410" w:type="dxa"/>
            <w:vAlign w:val="center"/>
          </w:tcPr>
          <w:p>
            <w:pPr>
              <w:pStyle w:val="8"/>
              <w:spacing w:after="0" w:afterLines="0"/>
              <w:rPr>
                <w:rFonts w:eastAsia="宋体"/>
                <w:bCs/>
                <w:sz w:val="24"/>
                <w:szCs w:val="24"/>
              </w:rPr>
            </w:pPr>
            <w:r>
              <w:rPr>
                <w:rFonts w:hint="eastAsia" w:eastAsia="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普陀区</w:t>
            </w:r>
          </w:p>
        </w:tc>
        <w:tc>
          <w:tcPr>
            <w:tcW w:w="2410" w:type="dxa"/>
            <w:vAlign w:val="center"/>
          </w:tcPr>
          <w:p>
            <w:pPr>
              <w:pStyle w:val="8"/>
              <w:spacing w:after="0" w:afterLines="0"/>
              <w:rPr>
                <w:rFonts w:eastAsia="宋体"/>
                <w:bCs/>
                <w:sz w:val="24"/>
                <w:szCs w:val="24"/>
              </w:rPr>
            </w:pPr>
            <w:r>
              <w:rPr>
                <w:rFonts w:hint="eastAsia" w:eastAsia="宋体"/>
                <w:bCs/>
                <w:sz w:val="24"/>
                <w:szCs w:val="24"/>
              </w:rPr>
              <w:t>26</w:t>
            </w:r>
          </w:p>
        </w:tc>
        <w:tc>
          <w:tcPr>
            <w:tcW w:w="2410" w:type="dxa"/>
            <w:vAlign w:val="center"/>
          </w:tcPr>
          <w:p>
            <w:pPr>
              <w:pStyle w:val="8"/>
              <w:spacing w:after="0" w:afterLines="0"/>
              <w:rPr>
                <w:rFonts w:eastAsia="宋体"/>
                <w:bCs/>
                <w:sz w:val="24"/>
                <w:szCs w:val="24"/>
              </w:rPr>
            </w:pPr>
            <w:r>
              <w:rPr>
                <w:rFonts w:hint="eastAsia" w:eastAsia="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虹口区</w:t>
            </w:r>
          </w:p>
        </w:tc>
        <w:tc>
          <w:tcPr>
            <w:tcW w:w="2410" w:type="dxa"/>
            <w:vAlign w:val="center"/>
          </w:tcPr>
          <w:p>
            <w:pPr>
              <w:pStyle w:val="8"/>
              <w:spacing w:after="0" w:afterLines="0"/>
              <w:rPr>
                <w:rFonts w:eastAsia="宋体"/>
                <w:bCs/>
                <w:sz w:val="24"/>
                <w:szCs w:val="24"/>
              </w:rPr>
            </w:pPr>
            <w:r>
              <w:rPr>
                <w:rFonts w:hint="eastAsia" w:eastAsia="宋体"/>
                <w:bCs/>
                <w:sz w:val="24"/>
                <w:szCs w:val="24"/>
              </w:rPr>
              <w:t>16</w:t>
            </w:r>
          </w:p>
        </w:tc>
        <w:tc>
          <w:tcPr>
            <w:tcW w:w="2410" w:type="dxa"/>
            <w:vAlign w:val="center"/>
          </w:tcPr>
          <w:p>
            <w:pPr>
              <w:pStyle w:val="8"/>
              <w:spacing w:after="0" w:afterLines="0"/>
              <w:rPr>
                <w:rFonts w:eastAsia="宋体"/>
                <w:bCs/>
                <w:sz w:val="24"/>
                <w:szCs w:val="24"/>
              </w:rPr>
            </w:pPr>
            <w:r>
              <w:rPr>
                <w:rFonts w:hint="eastAsia" w:eastAsia="宋体"/>
                <w:bCs/>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杨浦区</w:t>
            </w:r>
          </w:p>
        </w:tc>
        <w:tc>
          <w:tcPr>
            <w:tcW w:w="2410" w:type="dxa"/>
            <w:vAlign w:val="center"/>
          </w:tcPr>
          <w:p>
            <w:pPr>
              <w:pStyle w:val="8"/>
              <w:spacing w:after="0" w:afterLines="0"/>
              <w:rPr>
                <w:rFonts w:eastAsia="宋体"/>
                <w:bCs/>
                <w:sz w:val="24"/>
                <w:szCs w:val="24"/>
              </w:rPr>
            </w:pPr>
            <w:r>
              <w:rPr>
                <w:rFonts w:hint="eastAsia" w:eastAsia="宋体"/>
                <w:bCs/>
                <w:sz w:val="24"/>
                <w:szCs w:val="24"/>
              </w:rPr>
              <w:t>25</w:t>
            </w:r>
          </w:p>
        </w:tc>
        <w:tc>
          <w:tcPr>
            <w:tcW w:w="2410" w:type="dxa"/>
            <w:vAlign w:val="center"/>
          </w:tcPr>
          <w:p>
            <w:pPr>
              <w:pStyle w:val="8"/>
              <w:spacing w:after="0" w:afterLines="0"/>
              <w:rPr>
                <w:rFonts w:eastAsia="宋体"/>
                <w:bCs/>
                <w:sz w:val="24"/>
                <w:szCs w:val="24"/>
              </w:rPr>
            </w:pPr>
            <w:r>
              <w:rPr>
                <w:rFonts w:hint="eastAsia" w:eastAsia="宋体"/>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闵行区</w:t>
            </w:r>
          </w:p>
        </w:tc>
        <w:tc>
          <w:tcPr>
            <w:tcW w:w="2410" w:type="dxa"/>
            <w:vAlign w:val="center"/>
          </w:tcPr>
          <w:p>
            <w:pPr>
              <w:pStyle w:val="8"/>
              <w:spacing w:after="0" w:afterLines="0"/>
              <w:rPr>
                <w:rFonts w:eastAsia="宋体"/>
                <w:bCs/>
                <w:sz w:val="24"/>
                <w:szCs w:val="24"/>
              </w:rPr>
            </w:pPr>
            <w:r>
              <w:rPr>
                <w:rFonts w:hint="eastAsia" w:eastAsia="宋体"/>
                <w:bCs/>
                <w:sz w:val="24"/>
                <w:szCs w:val="24"/>
              </w:rPr>
              <w:t>76</w:t>
            </w:r>
          </w:p>
        </w:tc>
        <w:tc>
          <w:tcPr>
            <w:tcW w:w="2410" w:type="dxa"/>
            <w:vAlign w:val="center"/>
          </w:tcPr>
          <w:p>
            <w:pPr>
              <w:pStyle w:val="8"/>
              <w:spacing w:after="0" w:afterLines="0"/>
              <w:rPr>
                <w:rFonts w:eastAsia="宋体"/>
                <w:bCs/>
                <w:sz w:val="24"/>
                <w:szCs w:val="24"/>
              </w:rPr>
            </w:pPr>
            <w:r>
              <w:rPr>
                <w:rFonts w:hint="eastAsia" w:eastAsia="宋体"/>
                <w:bCs/>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宝山区</w:t>
            </w:r>
          </w:p>
        </w:tc>
        <w:tc>
          <w:tcPr>
            <w:tcW w:w="2410" w:type="dxa"/>
            <w:vAlign w:val="center"/>
          </w:tcPr>
          <w:p>
            <w:pPr>
              <w:pStyle w:val="8"/>
              <w:spacing w:after="0" w:afterLines="0"/>
              <w:rPr>
                <w:rFonts w:eastAsia="宋体"/>
                <w:bCs/>
                <w:sz w:val="24"/>
                <w:szCs w:val="24"/>
              </w:rPr>
            </w:pPr>
            <w:r>
              <w:rPr>
                <w:rFonts w:hint="eastAsia" w:eastAsia="宋体"/>
                <w:bCs/>
                <w:sz w:val="24"/>
                <w:szCs w:val="24"/>
              </w:rPr>
              <w:t>77</w:t>
            </w:r>
          </w:p>
        </w:tc>
        <w:tc>
          <w:tcPr>
            <w:tcW w:w="2410" w:type="dxa"/>
            <w:vAlign w:val="center"/>
          </w:tcPr>
          <w:p>
            <w:pPr>
              <w:pStyle w:val="8"/>
              <w:spacing w:after="0" w:afterLines="0"/>
              <w:rPr>
                <w:rFonts w:eastAsia="宋体"/>
                <w:bCs/>
                <w:sz w:val="24"/>
                <w:szCs w:val="24"/>
              </w:rPr>
            </w:pPr>
            <w:r>
              <w:rPr>
                <w:rFonts w:hint="eastAsia" w:eastAsia="宋体"/>
                <w:bCs/>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嘉定区</w:t>
            </w:r>
          </w:p>
        </w:tc>
        <w:tc>
          <w:tcPr>
            <w:tcW w:w="2410" w:type="dxa"/>
            <w:vAlign w:val="center"/>
          </w:tcPr>
          <w:p>
            <w:pPr>
              <w:pStyle w:val="8"/>
              <w:spacing w:after="0" w:afterLines="0"/>
              <w:rPr>
                <w:rFonts w:eastAsia="宋体"/>
                <w:bCs/>
                <w:sz w:val="24"/>
                <w:szCs w:val="24"/>
              </w:rPr>
            </w:pPr>
            <w:r>
              <w:rPr>
                <w:rFonts w:hint="eastAsia" w:eastAsia="宋体"/>
                <w:bCs/>
                <w:sz w:val="24"/>
                <w:szCs w:val="24"/>
              </w:rPr>
              <w:t>90</w:t>
            </w:r>
          </w:p>
        </w:tc>
        <w:tc>
          <w:tcPr>
            <w:tcW w:w="2410" w:type="dxa"/>
            <w:vAlign w:val="center"/>
          </w:tcPr>
          <w:p>
            <w:pPr>
              <w:pStyle w:val="8"/>
              <w:spacing w:after="0" w:afterLines="0"/>
              <w:rPr>
                <w:rFonts w:eastAsia="宋体"/>
                <w:bCs/>
                <w:sz w:val="24"/>
                <w:szCs w:val="24"/>
              </w:rPr>
            </w:pPr>
            <w:r>
              <w:rPr>
                <w:rFonts w:hint="eastAsia" w:eastAsia="宋体"/>
                <w:bCs/>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浦东新区</w:t>
            </w:r>
          </w:p>
        </w:tc>
        <w:tc>
          <w:tcPr>
            <w:tcW w:w="2410" w:type="dxa"/>
            <w:vAlign w:val="center"/>
          </w:tcPr>
          <w:p>
            <w:pPr>
              <w:pStyle w:val="8"/>
              <w:spacing w:after="0" w:afterLines="0"/>
              <w:rPr>
                <w:rFonts w:eastAsia="宋体"/>
                <w:bCs/>
                <w:sz w:val="24"/>
                <w:szCs w:val="24"/>
              </w:rPr>
            </w:pPr>
            <w:r>
              <w:rPr>
                <w:rFonts w:hint="eastAsia" w:eastAsia="宋体"/>
                <w:bCs/>
                <w:sz w:val="24"/>
                <w:szCs w:val="24"/>
              </w:rPr>
              <w:t>159</w:t>
            </w:r>
          </w:p>
        </w:tc>
        <w:tc>
          <w:tcPr>
            <w:tcW w:w="2410" w:type="dxa"/>
            <w:vAlign w:val="center"/>
          </w:tcPr>
          <w:p>
            <w:pPr>
              <w:pStyle w:val="8"/>
              <w:spacing w:after="0" w:afterLines="0"/>
              <w:rPr>
                <w:rFonts w:eastAsia="宋体"/>
                <w:bCs/>
                <w:sz w:val="24"/>
                <w:szCs w:val="24"/>
              </w:rPr>
            </w:pPr>
            <w:r>
              <w:rPr>
                <w:rFonts w:hint="eastAsia" w:eastAsia="宋体"/>
                <w:bCs/>
                <w:sz w:val="24"/>
                <w:szCs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金山区</w:t>
            </w:r>
          </w:p>
        </w:tc>
        <w:tc>
          <w:tcPr>
            <w:tcW w:w="2410" w:type="dxa"/>
            <w:vAlign w:val="center"/>
          </w:tcPr>
          <w:p>
            <w:pPr>
              <w:pStyle w:val="8"/>
              <w:spacing w:after="0" w:afterLines="0"/>
              <w:rPr>
                <w:rFonts w:eastAsia="宋体"/>
                <w:bCs/>
                <w:sz w:val="24"/>
                <w:szCs w:val="24"/>
              </w:rPr>
            </w:pPr>
            <w:r>
              <w:rPr>
                <w:rFonts w:hint="eastAsia" w:eastAsia="宋体"/>
                <w:bCs/>
                <w:sz w:val="24"/>
                <w:szCs w:val="24"/>
              </w:rPr>
              <w:t>51</w:t>
            </w:r>
          </w:p>
        </w:tc>
        <w:tc>
          <w:tcPr>
            <w:tcW w:w="2410" w:type="dxa"/>
            <w:vAlign w:val="center"/>
          </w:tcPr>
          <w:p>
            <w:pPr>
              <w:pStyle w:val="8"/>
              <w:spacing w:after="0" w:afterLines="0"/>
              <w:rPr>
                <w:rFonts w:eastAsia="宋体"/>
                <w:bCs/>
                <w:sz w:val="24"/>
                <w:szCs w:val="24"/>
              </w:rPr>
            </w:pPr>
            <w:r>
              <w:rPr>
                <w:rFonts w:hint="eastAsia" w:eastAsia="宋体"/>
                <w:bCs/>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松江区</w:t>
            </w:r>
          </w:p>
        </w:tc>
        <w:tc>
          <w:tcPr>
            <w:tcW w:w="2410" w:type="dxa"/>
            <w:vAlign w:val="center"/>
          </w:tcPr>
          <w:p>
            <w:pPr>
              <w:pStyle w:val="8"/>
              <w:spacing w:after="0" w:afterLines="0"/>
              <w:rPr>
                <w:rFonts w:eastAsia="宋体"/>
                <w:bCs/>
                <w:sz w:val="24"/>
                <w:szCs w:val="24"/>
              </w:rPr>
            </w:pPr>
            <w:r>
              <w:rPr>
                <w:rFonts w:hint="eastAsia" w:eastAsia="宋体"/>
                <w:bCs/>
                <w:sz w:val="24"/>
                <w:szCs w:val="24"/>
              </w:rPr>
              <w:t>57</w:t>
            </w:r>
          </w:p>
        </w:tc>
        <w:tc>
          <w:tcPr>
            <w:tcW w:w="2410" w:type="dxa"/>
            <w:vAlign w:val="center"/>
          </w:tcPr>
          <w:p>
            <w:pPr>
              <w:pStyle w:val="8"/>
              <w:spacing w:after="0" w:afterLines="0"/>
              <w:rPr>
                <w:rFonts w:eastAsia="宋体"/>
                <w:bCs/>
                <w:sz w:val="24"/>
                <w:szCs w:val="24"/>
              </w:rPr>
            </w:pPr>
            <w:r>
              <w:rPr>
                <w:rFonts w:hint="eastAsia" w:eastAsia="宋体"/>
                <w:bCs/>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青浦区</w:t>
            </w:r>
          </w:p>
        </w:tc>
        <w:tc>
          <w:tcPr>
            <w:tcW w:w="2410" w:type="dxa"/>
            <w:vAlign w:val="center"/>
          </w:tcPr>
          <w:p>
            <w:pPr>
              <w:pStyle w:val="8"/>
              <w:spacing w:after="0" w:afterLines="0"/>
              <w:rPr>
                <w:rFonts w:eastAsia="宋体"/>
                <w:bCs/>
                <w:sz w:val="24"/>
                <w:szCs w:val="24"/>
              </w:rPr>
            </w:pPr>
            <w:r>
              <w:rPr>
                <w:rFonts w:hint="eastAsia" w:eastAsia="宋体"/>
                <w:bCs/>
                <w:sz w:val="24"/>
                <w:szCs w:val="24"/>
              </w:rPr>
              <w:t>58</w:t>
            </w:r>
          </w:p>
        </w:tc>
        <w:tc>
          <w:tcPr>
            <w:tcW w:w="2410" w:type="dxa"/>
            <w:vAlign w:val="center"/>
          </w:tcPr>
          <w:p>
            <w:pPr>
              <w:pStyle w:val="8"/>
              <w:spacing w:after="0" w:afterLines="0"/>
              <w:rPr>
                <w:rFonts w:eastAsia="宋体"/>
                <w:bCs/>
                <w:sz w:val="24"/>
                <w:szCs w:val="24"/>
              </w:rPr>
            </w:pPr>
            <w:r>
              <w:rPr>
                <w:rFonts w:hint="eastAsia" w:eastAsia="宋体"/>
                <w:bCs/>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奉贤区</w:t>
            </w:r>
          </w:p>
        </w:tc>
        <w:tc>
          <w:tcPr>
            <w:tcW w:w="2410" w:type="dxa"/>
            <w:vAlign w:val="center"/>
          </w:tcPr>
          <w:p>
            <w:pPr>
              <w:pStyle w:val="8"/>
              <w:spacing w:after="0" w:afterLines="0"/>
              <w:rPr>
                <w:rFonts w:eastAsia="宋体"/>
                <w:bCs/>
                <w:sz w:val="24"/>
                <w:szCs w:val="24"/>
              </w:rPr>
            </w:pPr>
            <w:r>
              <w:rPr>
                <w:rFonts w:hint="eastAsia" w:eastAsia="宋体"/>
                <w:bCs/>
                <w:sz w:val="24"/>
                <w:szCs w:val="24"/>
              </w:rPr>
              <w:t>69</w:t>
            </w:r>
          </w:p>
        </w:tc>
        <w:tc>
          <w:tcPr>
            <w:tcW w:w="2410" w:type="dxa"/>
            <w:vAlign w:val="center"/>
          </w:tcPr>
          <w:p>
            <w:pPr>
              <w:pStyle w:val="8"/>
              <w:spacing w:after="0" w:afterLines="0"/>
              <w:rPr>
                <w:rFonts w:eastAsia="宋体"/>
                <w:bCs/>
                <w:sz w:val="24"/>
                <w:szCs w:val="24"/>
              </w:rPr>
            </w:pPr>
            <w:r>
              <w:rPr>
                <w:rFonts w:hint="eastAsia" w:eastAsia="宋体"/>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崇明区</w:t>
            </w:r>
          </w:p>
        </w:tc>
        <w:tc>
          <w:tcPr>
            <w:tcW w:w="2410" w:type="dxa"/>
            <w:vAlign w:val="center"/>
          </w:tcPr>
          <w:p>
            <w:pPr>
              <w:pStyle w:val="8"/>
              <w:spacing w:after="0" w:afterLines="0"/>
              <w:rPr>
                <w:rFonts w:eastAsia="宋体"/>
                <w:bCs/>
                <w:sz w:val="24"/>
                <w:szCs w:val="24"/>
              </w:rPr>
            </w:pPr>
            <w:r>
              <w:rPr>
                <w:rFonts w:hint="eastAsia" w:eastAsia="宋体"/>
                <w:bCs/>
                <w:sz w:val="24"/>
                <w:szCs w:val="24"/>
              </w:rPr>
              <w:t>53</w:t>
            </w:r>
          </w:p>
        </w:tc>
        <w:tc>
          <w:tcPr>
            <w:tcW w:w="2410" w:type="dxa"/>
            <w:vAlign w:val="center"/>
          </w:tcPr>
          <w:p>
            <w:pPr>
              <w:pStyle w:val="8"/>
              <w:spacing w:after="0" w:afterLines="0"/>
              <w:rPr>
                <w:rFonts w:eastAsia="宋体"/>
                <w:bCs/>
                <w:sz w:val="24"/>
                <w:szCs w:val="24"/>
              </w:rPr>
            </w:pPr>
            <w:r>
              <w:rPr>
                <w:rFonts w:hint="eastAsia" w:eastAsia="宋体"/>
                <w:bCs/>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80" w:type="dxa"/>
            <w:vAlign w:val="center"/>
          </w:tcPr>
          <w:p>
            <w:pPr>
              <w:pStyle w:val="8"/>
              <w:spacing w:after="0" w:afterLines="0"/>
              <w:rPr>
                <w:rFonts w:eastAsia="宋体"/>
                <w:bCs/>
                <w:sz w:val="24"/>
                <w:szCs w:val="24"/>
              </w:rPr>
            </w:pPr>
            <w:r>
              <w:rPr>
                <w:rFonts w:hint="eastAsia" w:eastAsia="宋体"/>
                <w:bCs/>
                <w:sz w:val="24"/>
                <w:szCs w:val="24"/>
              </w:rPr>
              <w:t>总计</w:t>
            </w:r>
          </w:p>
        </w:tc>
        <w:tc>
          <w:tcPr>
            <w:tcW w:w="2410" w:type="dxa"/>
            <w:vAlign w:val="center"/>
          </w:tcPr>
          <w:p>
            <w:pPr>
              <w:pStyle w:val="8"/>
              <w:spacing w:after="0" w:afterLines="0"/>
              <w:rPr>
                <w:rFonts w:eastAsia="宋体"/>
                <w:bCs/>
                <w:sz w:val="24"/>
                <w:szCs w:val="24"/>
              </w:rPr>
            </w:pPr>
            <w:r>
              <w:rPr>
                <w:rFonts w:hint="eastAsia" w:eastAsia="宋体"/>
                <w:bCs/>
                <w:sz w:val="24"/>
                <w:szCs w:val="24"/>
              </w:rPr>
              <w:t>844</w:t>
            </w:r>
          </w:p>
        </w:tc>
        <w:tc>
          <w:tcPr>
            <w:tcW w:w="2410" w:type="dxa"/>
            <w:vAlign w:val="center"/>
          </w:tcPr>
          <w:p>
            <w:pPr>
              <w:pStyle w:val="8"/>
              <w:spacing w:after="0" w:afterLines="0"/>
              <w:rPr>
                <w:rFonts w:eastAsia="宋体"/>
                <w:bCs/>
                <w:sz w:val="24"/>
                <w:szCs w:val="24"/>
              </w:rPr>
            </w:pPr>
            <w:r>
              <w:rPr>
                <w:rFonts w:hint="eastAsia" w:eastAsia="宋体"/>
                <w:bCs/>
                <w:sz w:val="24"/>
                <w:szCs w:val="24"/>
              </w:rPr>
              <w:t>977</w:t>
            </w:r>
          </w:p>
        </w:tc>
      </w:tr>
    </w:tbl>
    <w:p>
      <w:pPr>
        <w:pStyle w:val="5"/>
        <w:numPr>
          <w:ilvl w:val="0"/>
          <w:numId w:val="1"/>
        </w:numPr>
        <w:ind w:left="0" w:firstLine="0" w:firstLineChars="0"/>
        <w:jc w:val="left"/>
        <w:outlineLvl w:val="0"/>
        <w:rPr>
          <w:rFonts w:ascii="黑体" w:hAnsi="黑体" w:eastAsia="黑体"/>
          <w:sz w:val="32"/>
        </w:rPr>
        <w:sectPr>
          <w:pgSz w:w="11906" w:h="16838"/>
          <w:pgMar w:top="1440" w:right="1558" w:bottom="1440" w:left="1800" w:header="851" w:footer="992" w:gutter="0"/>
          <w:cols w:space="425" w:num="1"/>
          <w:docGrid w:type="lines" w:linePitch="312" w:charSpace="0"/>
        </w:sectPr>
      </w:pPr>
    </w:p>
    <w:p>
      <w:pPr>
        <w:pStyle w:val="5"/>
        <w:numPr>
          <w:ilvl w:val="0"/>
          <w:numId w:val="1"/>
        </w:numPr>
        <w:ind w:left="0" w:firstLine="0" w:firstLineChars="0"/>
        <w:jc w:val="left"/>
        <w:outlineLvl w:val="0"/>
        <w:rPr>
          <w:rFonts w:ascii="黑体" w:hAnsi="黑体" w:eastAsia="黑体"/>
          <w:sz w:val="32"/>
        </w:rPr>
      </w:pPr>
      <w:r>
        <w:rPr>
          <w:rFonts w:hint="eastAsia" w:ascii="黑体" w:hAnsi="黑体" w:eastAsia="黑体"/>
          <w:sz w:val="32"/>
        </w:rPr>
        <w:t>规划布局方案图</w:t>
      </w:r>
    </w:p>
    <w:p>
      <w:pPr>
        <w:pStyle w:val="5"/>
        <w:ind w:firstLine="0" w:firstLineChars="0"/>
        <w:jc w:val="center"/>
        <w:rPr>
          <w:rFonts w:ascii="黑体" w:hAnsi="黑体" w:eastAsia="黑体"/>
        </w:rPr>
      </w:pPr>
      <w:r>
        <w:drawing>
          <wp:inline distT="0" distB="0" distL="0" distR="0">
            <wp:extent cx="6022340" cy="7706995"/>
            <wp:effectExtent l="19050" t="19050" r="16510" b="27305"/>
            <wp:docPr id="6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7"/>
                    <pic:cNvPicPr>
                      <a:picLocks noChangeAspect="true"/>
                    </pic:cNvPicPr>
                  </pic:nvPicPr>
                  <pic:blipFill>
                    <a:blip r:embed="rId6" cstate="print">
                      <a:extLst>
                        <a:ext uri="{28A0092B-C50C-407E-A947-70E740481C1C}">
                          <a14:useLocalDpi xmlns:a14="http://schemas.microsoft.com/office/drawing/2010/main" val="false"/>
                        </a:ext>
                      </a:extLst>
                    </a:blip>
                    <a:srcRect l="3940" t="10685" r="2263" b="4465"/>
                    <a:stretch>
                      <a:fillRect/>
                    </a:stretch>
                  </pic:blipFill>
                  <pic:spPr>
                    <a:xfrm>
                      <a:off x="0" y="0"/>
                      <a:ext cx="6022800" cy="7707600"/>
                    </a:xfrm>
                    <a:prstGeom prst="rect">
                      <a:avLst/>
                    </a:prstGeom>
                    <a:noFill/>
                    <a:ln w="3175" cap="flat" cmpd="sng" algn="ctr">
                      <a:solidFill>
                        <a:srgbClr val="000000"/>
                      </a:solidFill>
                      <a:prstDash val="solid"/>
                      <a:miter lim="800000"/>
                      <a:headEnd type="none" w="med" len="med"/>
                      <a:tailEnd type="none" w="med" len="med"/>
                    </a:ln>
                    <a:effectLst/>
                  </pic:spPr>
                </pic:pic>
              </a:graphicData>
            </a:graphic>
          </wp:inline>
        </w:drawing>
      </w:r>
    </w:p>
    <w:p>
      <w:pPr>
        <w:pStyle w:val="7"/>
        <w:rPr>
          <w:rFonts w:ascii="黑体" w:hAnsi="黑体" w:eastAsia="黑体"/>
        </w:rPr>
      </w:pPr>
      <w:r>
        <w:rPr>
          <w:rFonts w:hint="eastAsia"/>
          <w:sz w:val="24"/>
          <w:szCs w:val="24"/>
        </w:rPr>
        <w:t>上海市加油站布局规划方案图</w:t>
      </w:r>
      <w:bookmarkStart w:id="0" w:name="_GoBack"/>
      <w:bookmarkEnd w:id="0"/>
    </w:p>
    <w:sectPr>
      <w:pgSz w:w="11906" w:h="16838"/>
      <w:pgMar w:top="1440" w:right="1558"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5668B"/>
    <w:multiLevelType w:val="multilevel"/>
    <w:tmpl w:val="1355668B"/>
    <w:lvl w:ilvl="0" w:tentative="0">
      <w:start w:val="1"/>
      <w:numFmt w:val="decimal"/>
      <w:suff w:val="space"/>
      <w:lvlText w:val="%1、"/>
      <w:lvlJc w:val="left"/>
      <w:pPr>
        <w:ind w:left="567" w:hanging="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DB5278"/>
    <w:multiLevelType w:val="multilevel"/>
    <w:tmpl w:val="1BDB527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E051D1"/>
    <w:multiLevelType w:val="multilevel"/>
    <w:tmpl w:val="51E051D1"/>
    <w:lvl w:ilvl="0" w:tentative="0">
      <w:start w:val="1"/>
      <w:numFmt w:val="decimal"/>
      <w:suff w:val="space"/>
      <w:lvlText w:val="%1、"/>
      <w:lvlJc w:val="left"/>
      <w:pPr>
        <w:ind w:left="567" w:hanging="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0"/>
    <w:rsid w:val="00013911"/>
    <w:rsid w:val="00054438"/>
    <w:rsid w:val="000802B6"/>
    <w:rsid w:val="00114BCA"/>
    <w:rsid w:val="001251A2"/>
    <w:rsid w:val="001E4BA3"/>
    <w:rsid w:val="00205960"/>
    <w:rsid w:val="002074AD"/>
    <w:rsid w:val="00233DF1"/>
    <w:rsid w:val="00270B6F"/>
    <w:rsid w:val="002C660F"/>
    <w:rsid w:val="0031572C"/>
    <w:rsid w:val="00341235"/>
    <w:rsid w:val="003A5A24"/>
    <w:rsid w:val="00404559"/>
    <w:rsid w:val="004B7F0A"/>
    <w:rsid w:val="00501C37"/>
    <w:rsid w:val="005408D8"/>
    <w:rsid w:val="00544538"/>
    <w:rsid w:val="005505EA"/>
    <w:rsid w:val="005F22C3"/>
    <w:rsid w:val="006064A6"/>
    <w:rsid w:val="00686743"/>
    <w:rsid w:val="006E4341"/>
    <w:rsid w:val="006F76C2"/>
    <w:rsid w:val="007227C6"/>
    <w:rsid w:val="00732DFF"/>
    <w:rsid w:val="007A2D81"/>
    <w:rsid w:val="007D34BE"/>
    <w:rsid w:val="00964EE8"/>
    <w:rsid w:val="00997056"/>
    <w:rsid w:val="009B177E"/>
    <w:rsid w:val="009D01D4"/>
    <w:rsid w:val="009F29FB"/>
    <w:rsid w:val="00A207E6"/>
    <w:rsid w:val="00A33EED"/>
    <w:rsid w:val="00AD41CE"/>
    <w:rsid w:val="00B16747"/>
    <w:rsid w:val="00B20D24"/>
    <w:rsid w:val="00C52FD4"/>
    <w:rsid w:val="00C74D1D"/>
    <w:rsid w:val="00CA2349"/>
    <w:rsid w:val="00CB6BE4"/>
    <w:rsid w:val="00CE26C3"/>
    <w:rsid w:val="00D454F4"/>
    <w:rsid w:val="00D84AB6"/>
    <w:rsid w:val="00DC6122"/>
    <w:rsid w:val="00E528BB"/>
    <w:rsid w:val="00EC74A0"/>
    <w:rsid w:val="00F153ED"/>
    <w:rsid w:val="00F54EAC"/>
    <w:rsid w:val="00F6356C"/>
    <w:rsid w:val="00FB33D7"/>
    <w:rsid w:val="00FE4AAB"/>
    <w:rsid w:val="00FE58E9"/>
    <w:rsid w:val="CEFF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8"/>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pPr>
  </w:style>
  <w:style w:type="table" w:customStyle="1" w:styleId="6">
    <w:name w:val="网格型浅色1"/>
    <w:basedOn w:val="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7">
    <w:name w:val="表格标题"/>
    <w:qFormat/>
    <w:uiPriority w:val="0"/>
    <w:pPr>
      <w:spacing w:before="156" w:beforeLines="50" w:after="156" w:afterLines="50"/>
      <w:jc w:val="center"/>
    </w:pPr>
    <w:rPr>
      <w:rFonts w:ascii="仿宋_GB2312" w:hAnsi="宋体" w:eastAsia="宋体" w:cs="Times New Roman"/>
      <w:b/>
      <w:bCs/>
      <w:kern w:val="44"/>
      <w:sz w:val="21"/>
      <w:szCs w:val="44"/>
      <w:lang w:val="en-US" w:eastAsia="zh-CN" w:bidi="ar-SA"/>
    </w:rPr>
  </w:style>
  <w:style w:type="paragraph" w:styleId="8">
    <w:name w:val="No Spacing"/>
    <w:qFormat/>
    <w:uiPriority w:val="1"/>
    <w:pPr>
      <w:widowControl w:val="0"/>
      <w:spacing w:after="50" w:afterLines="50"/>
      <w:jc w:val="center"/>
    </w:pPr>
    <w:rPr>
      <w:rFonts w:ascii="宋体" w:hAnsi="宋体" w:eastAsia="黑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Words>
  <Characters>1247</Characters>
  <Lines>10</Lines>
  <Paragraphs>2</Paragraphs>
  <TotalTime>10</TotalTime>
  <ScaleCrop>false</ScaleCrop>
  <LinksUpToDate>false</LinksUpToDate>
  <CharactersWithSpaces>1463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2021-09-29T12:16:00Z</dcterms:created>
  <dc:creator>JonMMx 2000</dc:creator>
  <cp:lastModifiedBy>user</cp:lastModifiedBy>
  <dcterms:modified xsi:type="dcterms:W3CDTF">2021-09-29T12:39:24Z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