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0" w:rightChars="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480" w:lineRule="exact"/>
        <w:ind w:left="0" w:leftChars="0" w:right="0" w:rightChars="0" w:firstLine="0" w:firstLineChars="0"/>
        <w:jc w:val="center"/>
        <w:rPr>
          <w:rFonts w:hint="eastAsia" w:ascii="Times New Roman" w:eastAsia="方正小标宋简体"/>
          <w:spacing w:val="-11"/>
          <w:sz w:val="36"/>
          <w:szCs w:val="28"/>
        </w:rPr>
      </w:pPr>
      <w:bookmarkStart w:id="0" w:name="_GoBack"/>
      <w:r>
        <w:rPr>
          <w:rFonts w:hint="eastAsia" w:ascii="Times New Roman" w:eastAsia="方正小标宋简体"/>
          <w:spacing w:val="-11"/>
          <w:sz w:val="36"/>
          <w:szCs w:val="28"/>
          <w:lang w:eastAsia="zh-CN"/>
        </w:rPr>
        <w:t>首批上海市</w:t>
      </w:r>
      <w:r>
        <w:rPr>
          <w:rFonts w:hint="eastAsia" w:ascii="Times New Roman" w:eastAsia="方正小标宋简体"/>
          <w:spacing w:val="-11"/>
          <w:sz w:val="36"/>
          <w:szCs w:val="28"/>
        </w:rPr>
        <w:t>制造业数字化和绿色化协同转型应用场景名单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480" w:lineRule="exact"/>
        <w:ind w:left="0" w:leftChars="0" w:right="0" w:rightChars="0" w:firstLine="0" w:firstLineChars="0"/>
        <w:jc w:val="center"/>
        <w:rPr>
          <w:rFonts w:hint="eastAsia" w:ascii="Times New Roman" w:eastAsia="方正小标宋简体"/>
          <w:spacing w:val="-11"/>
          <w:sz w:val="36"/>
          <w:szCs w:val="28"/>
        </w:rPr>
      </w:pPr>
    </w:p>
    <w:tbl>
      <w:tblPr>
        <w:tblStyle w:val="2"/>
        <w:tblW w:w="10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80"/>
        <w:gridCol w:w="3180"/>
        <w:gridCol w:w="2201"/>
        <w:gridCol w:w="1619"/>
        <w:tblGridChange w:id="0">
          <w:tblGrid>
            <w:gridCol w:w="108"/>
            <w:gridCol w:w="612"/>
            <w:gridCol w:w="2280"/>
            <w:gridCol w:w="3180"/>
            <w:gridCol w:w="2201"/>
            <w:gridCol w:w="1619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97" w:hRule="atLeast"/>
          <w:jc w:val="center"/>
        </w:trPr>
        <w:tc>
          <w:tcPr>
            <w:tcW w:w="10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一、标杆应用场景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场景单位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应用场景名称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224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上海施耐德低压终端电器有限公司</w:t>
            </w:r>
          </w:p>
        </w:tc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多种数字技术结合打造端到端绿色供应链和绿色智能工厂</w:t>
            </w:r>
          </w:p>
        </w:tc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上海施耐德低压终端电器有限公司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上海宝鼎酿造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“蓝绿双循环”箱联网助力非危液体实现绿色智能安全物流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上海箱箱智能科技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221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欧冶工业品股份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积木式LCA工具推动链上制造企业快速建模和计算碳足迹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上海易碳数字科技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能源双碳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99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上海万泽精密铸造有限公司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光储充售系统推动能碳EaaS新模式落地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上海浦东港华数智能源发展有限公司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020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上海华峰铝业股份有限公司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工业数字化碳管理平台助力打造绿色铝业工厂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上海华峰创享互联网络科技有限公司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上海纳铁福传动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优化控制和光储充用在生产节能领域的综合应用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上海安悦节能技术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国网上海市电力公司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嘉定供电公司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基于AI技术的用电企业碳排放诊断与双碳策略规划仿真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上海数道信息科技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能源双碳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  <w:jc w:val="center"/>
        </w:trPr>
        <w:tc>
          <w:tcPr>
            <w:tcW w:w="10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二、示范应用场景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华电新能源集团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股份有限公司上海分公司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“无人机+机器人”解决光伏场站智能运维难题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星逻人工智能技术（上海）有限公司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能源双碳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上海思乐得不锈钢制品有限公司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日用消费品的数字化碳足迹管理和供应链绿色转型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上海碳衡科技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时尚消费品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上海紫江新材料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以设备设施为核心对象的泛半导体企业智慧能碳管理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上海碳索能源服务股份有限公司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中国电信股份有限公司上海分公司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多负荷虚拟电厂的智慧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高效运营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中国电信股份有限公司上海分公司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上海电气核电设备有限公司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依托工业互联网平台实现核电装备制造过程的节能降碳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上海电气集团数字科技有限公司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费尼亚德尔福汽车系统（上海）有限公司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软硬算一体化工业公共动力设备智能运维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上海时链节能科技有限公司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上海经海纬象生物材料有限公司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平台赋能生物产品研发制造全流程管理和碳核算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优刻得科技股份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上海和黄药业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综合应用数字技术实现传统药厂循环水系统的节能优化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上海瀚显空调节能技术有限公司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11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上海和辉光电股份有限公司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软硬件结合助力光电产品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制造过程的节能减排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神洲数码数云科技有限公司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C2CE"/>
    <w:rsid w:val="FFBF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2024-12-13T17:00:00Z</dcterms:created>
  <dc:creator>吴莹露</dc:creator>
  <cp:lastModifiedBy>吴莹露</cp:lastModifiedBy>
  <dcterms:modified xsi:type="dcterms:W3CDTF">2024-12-13T17:01:19Z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0232991A5566202AB8F75B67E3223340_41</vt:lpwstr>
  </property>
</Properties>
</file>