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拟入选</w:t>
      </w:r>
      <w:r>
        <w:rPr>
          <w:rFonts w:hint="eastAsia" w:ascii="华文中宋" w:hAnsi="华文中宋" w:eastAsia="华文中宋" w:cs="华文中宋"/>
          <w:sz w:val="32"/>
          <w:szCs w:val="32"/>
        </w:rPr>
        <w:t>2024年上海市智能制造系统解决方案揭榜挂帅项目名单</w:t>
      </w:r>
      <w:bookmarkEnd w:id="0"/>
      <w:r>
        <w:rPr>
          <w:rFonts w:hint="eastAsia" w:ascii="华文中宋" w:hAnsi="华文中宋" w:eastAsia="华文中宋" w:cs="华文中宋"/>
          <w:sz w:val="28"/>
          <w:szCs w:val="28"/>
        </w:rPr>
        <w:t>（排名不分先后）</w:t>
      </w:r>
    </w:p>
    <w:tbl>
      <w:tblPr>
        <w:tblStyle w:val="6"/>
        <w:tblW w:w="13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14"/>
        <w:gridCol w:w="2378"/>
        <w:gridCol w:w="2572"/>
        <w:gridCol w:w="4134"/>
        <w:gridCol w:w="1425"/>
      </w:tblGrid>
      <w:tr>
        <w:trPr>
          <w:trHeight w:val="4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面向领域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攻关方向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解决方案名称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中国电气装备集团科学技术研究院有限公司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产品数字化设计解决方案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超特高压电力装备数字化研发解决方案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上海电气集团股份有限公司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设备智能运维解决方案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机理与AI融合的高端数控机床智能运维系统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上海仪电智能科技有限公司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汽车、高端装备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质量综合管控解决方案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基于机器视觉的产品表面质量及缺陷检测专家解决方案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中国海诚工程科技股份有限公司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电子信息、生命健康、先进材料、时尚消费品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智能运营决策解决方案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轻工行业智能工厂综合解决方案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上海神添实业有限公司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装备数字化解决方案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面向航空航天器大尺寸异形部组件的高精度智能在线检测系统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纬景储能科技有限公司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系统集成式智能装配生产线攻关项目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上海联泉智能科技有限公司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电子信息、汽车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数字孪生工厂解决方案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零代码无人车间数字孪生IOC平台国产化设计及应用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上海帆声图像科技有限公司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电子信息、汽车、高端装备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质量综合管控解决方案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面向工业领域精密光学智能系统检测方案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上海甲佳智能科技有限公司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高端装备、集成电路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面向电子特气行业的智能化生产解决方案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全程(上海)智能科技有限公司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能碳精益化管控解决方案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综合能源能耗检测一体化管控平台解决方案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上汽通用汽车有限公司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质量综合管控解决方案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基于机器视觉、人工智能及数智化系统应用的整车质量综合管控解决方案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星猿哲科技(上海)有限公司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厂内智能物流解决方案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物流拣选机器人解决方案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上海飒智智能科技有限公司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厂内智能物流解决方案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智能制造工厂智慧仓储及配送解决方案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友机技术(上海)有限公司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装备数字化解决方案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多场景加工过程智能监测与控制解决方案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东富龙科技集团股份有限公司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装备数字化解决方案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基于数字孪生技术的装备数字化全生命周期智能管控解决方案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上海卫星装备研究所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卫星批量化柔性智能生产线解决方案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果栗智造(上海)技术股份有限公司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高端装备、汽车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数控一体化磁悬浮智能柔性生产传输解决方案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中广核(上海)仿真技术有限公司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产品数字化设计解决方案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面向高端工控行业的设计仿真验证平台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上海威派格智慧水务有限公司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数字孪生工厂解决方案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数字孪生水厂解决方案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邦迪智能科技(上海)股份有限公司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高端装备、汽车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数字孪生工厂解决方案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面向交钥匙工程的扁线电机智能产线数字孪生工厂研发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上海金力泰化工股份有限公司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电芯UV涂层智能涂装一体化解决方案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权星智控系统工程(上海)股份有限公司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先进材料、时尚消费品、汽车、高端装备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产品、零部件自动化、智能化生产线解决方案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中化学华谊工程科技集团有限公司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高端装备、先进材料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设备智能运维解决方案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基于人工智能和数字孪生预测计算能力的设备完整性管理平台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上海克来机电自动化工程股份有限公司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厂内智能物流解决方案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厢式货车智能装车系统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上海美诺福科技有限公司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质量综合管控解决方案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水泥工业全流程智能化实验室研发与应用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上海萌微生物医疗科技有限公司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工艺过程在线优化解决方案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基于生物研发过程中的细胞自动化生产系统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上海智能制造功能平台有限公司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数字孪生工厂解决方案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高端装备制造数字孪生工厂解决方案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上海航天壹亘智能科技有限公司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IMCS智能总控打造柔性产线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上海微小卫星工程中心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面向复杂航天装备的柔性智能生产线解决方案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上海昊丰医疗科技有限公司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智能生产线解决方案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自动亲水涂层设备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临港新片区</w:t>
            </w:r>
          </w:p>
        </w:tc>
      </w:tr>
    </w:tbl>
    <w:p/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8FAA4"/>
    <w:rsid w:val="5F5D70B0"/>
    <w:rsid w:val="77FFF522"/>
    <w:rsid w:val="7D457927"/>
    <w:rsid w:val="7FFED050"/>
    <w:rsid w:val="BCBBCC04"/>
    <w:rsid w:val="E6F8FAA4"/>
    <w:rsid w:val="F59D709E"/>
    <w:rsid w:val="F6FFABD3"/>
    <w:rsid w:val="FDDF949E"/>
    <w:rsid w:val="FEFE3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line="240" w:lineRule="auto"/>
      <w:jc w:val="left"/>
    </w:pPr>
    <w:rPr>
      <w:rFonts w:hint="eastAsia" w:eastAsia="Times New Roman"/>
      <w:color w:val="000000"/>
      <w:spacing w:val="0"/>
      <w:kern w:val="0"/>
      <w:sz w:val="28"/>
      <w:szCs w:val="24"/>
      <w:lang w:eastAsia="en-US" w:bidi="en-US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2023-12-13T19:12:00Z</dcterms:created>
  <dc:creator>user</dc:creator>
  <cp:lastModifiedBy>吴莹露</cp:lastModifiedBy>
  <dcterms:modified xsi:type="dcterms:W3CDTF">2024-12-09T16:52:48Z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51B59AC8FD7F8123E0AF5667AEBEE009_43</vt:lpwstr>
  </property>
</Properties>
</file>