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idowControl/>
        <w:spacing w:after="0" w:line="360" w:lineRule="exact"/>
        <w:jc w:val="center"/>
        <w:rPr>
          <w:rFonts w:hint="eastAsia" w:ascii="方正小标宋简体" w:eastAsia="方正小标宋简体"/>
          <w:highlight w:val="none"/>
          <w:lang w:eastAsia="zh-CN"/>
        </w:rPr>
      </w:pPr>
    </w:p>
    <w:tbl>
      <w:tblPr>
        <w:tblStyle w:val="10"/>
        <w:tblpPr w:leftFromText="180" w:rightFromText="180" w:vertAnchor="text" w:horzAnchor="page" w:tblpXSpec="center" w:tblpY="44"/>
        <w:tblOverlap w:val="never"/>
        <w:tblW w:w="14860" w:type="dxa"/>
        <w:jc w:val="center"/>
        <w:tblLayout w:type="fixed"/>
        <w:tblCellMar>
          <w:top w:w="0" w:type="dxa"/>
          <w:left w:w="0" w:type="dxa"/>
          <w:bottom w:w="0" w:type="dxa"/>
          <w:right w:w="0" w:type="dxa"/>
        </w:tblCellMar>
      </w:tblPr>
      <w:tblGrid>
        <w:gridCol w:w="357"/>
        <w:gridCol w:w="986"/>
        <w:gridCol w:w="4347"/>
        <w:gridCol w:w="739"/>
        <w:gridCol w:w="3475"/>
        <w:gridCol w:w="1061"/>
        <w:gridCol w:w="3895"/>
      </w:tblGrid>
      <w:tr>
        <w:tblPrEx>
          <w:tblCellMar>
            <w:top w:w="0" w:type="dxa"/>
            <w:left w:w="0" w:type="dxa"/>
            <w:bottom w:w="0" w:type="dxa"/>
            <w:right w:w="0" w:type="dxa"/>
          </w:tblCellMar>
        </w:tblPrEx>
        <w:trPr>
          <w:trHeight w:val="90" w:hRule="atLeast"/>
          <w:jc w:val="center"/>
        </w:trPr>
        <w:tc>
          <w:tcPr>
            <w:tcW w:w="14860" w:type="dxa"/>
            <w:gridSpan w:val="7"/>
            <w:tcBorders>
              <w:top w:val="nil"/>
              <w:left w:val="nil"/>
              <w:bottom w:val="single" w:color="000000" w:sz="4" w:space="0"/>
              <w:right w:val="nil"/>
            </w:tcBorders>
            <w:tcMar>
              <w:top w:w="57" w:type="dxa"/>
              <w:left w:w="57" w:type="dxa"/>
              <w:bottom w:w="57" w:type="dxa"/>
              <w:right w:w="57" w:type="dxa"/>
            </w:tcMar>
            <w:vAlign w:val="center"/>
          </w:tcPr>
          <w:p>
            <w:pPr>
              <w:widowControl/>
              <w:spacing w:after="0" w:line="360" w:lineRule="exact"/>
              <w:jc w:val="center"/>
              <w:rPr>
                <w:rFonts w:ascii="方正小标宋简体" w:eastAsia="方正小标宋简体"/>
                <w:highlight w:val="none"/>
              </w:rPr>
            </w:pPr>
            <w:r>
              <w:rPr>
                <w:rFonts w:hint="eastAsia" w:ascii="方正小标宋简体" w:eastAsia="方正小标宋简体"/>
                <w:highlight w:val="none"/>
                <w:lang w:eastAsia="zh-CN"/>
              </w:rPr>
              <w:t>上海市经济和信息化领域行政处罚裁量权基准（</w:t>
            </w:r>
            <w:r>
              <w:rPr>
                <w:rFonts w:hint="eastAsia" w:ascii="方正小标宋简体" w:eastAsia="方正小标宋简体"/>
                <w:highlight w:val="none"/>
              </w:rPr>
              <w:t>监控化学品执法类</w:t>
            </w:r>
            <w:r>
              <w:rPr>
                <w:rFonts w:hint="eastAsia" w:ascii="方正小标宋简体" w:eastAsia="方正小标宋简体"/>
                <w:highlight w:val="none"/>
                <w:lang w:eastAsia="zh-CN"/>
              </w:rPr>
              <w:t>）</w:t>
            </w:r>
            <w:r>
              <w:rPr>
                <w:rFonts w:hint="eastAsia" w:ascii="方正小标宋简体" w:eastAsia="方正小标宋简体"/>
                <w:highlight w:val="none"/>
              </w:rPr>
              <w:t>（</w:t>
            </w:r>
            <w:r>
              <w:rPr>
                <w:rFonts w:hint="eastAsia" w:ascii="方正小标宋简体" w:eastAsia="方正小标宋简体"/>
                <w:highlight w:val="none"/>
                <w:lang w:eastAsia="zh-CN"/>
              </w:rPr>
              <w:t>征求意见稿</w:t>
            </w:r>
            <w:r>
              <w:rPr>
                <w:rFonts w:hint="eastAsia" w:ascii="方正小标宋简体" w:eastAsia="方正小标宋简体"/>
                <w:highlight w:val="none"/>
              </w:rPr>
              <w:t>）</w:t>
            </w:r>
          </w:p>
        </w:tc>
      </w:tr>
      <w:tr>
        <w:tblPrEx>
          <w:tblCellMar>
            <w:top w:w="0" w:type="dxa"/>
            <w:left w:w="0" w:type="dxa"/>
            <w:bottom w:w="0" w:type="dxa"/>
            <w:right w:w="0" w:type="dxa"/>
          </w:tblCellMar>
        </w:tblPrEx>
        <w:trPr>
          <w:trHeight w:val="187" w:hRule="atLeast"/>
          <w:jc w:val="center"/>
        </w:trPr>
        <w:tc>
          <w:tcPr>
            <w:tcW w:w="357" w:type="dxa"/>
            <w:vMerge w:val="restart"/>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黑体" w:hAnsi="黑体" w:eastAsia="黑体" w:cs="仿宋_GB2312"/>
                <w:bCs/>
                <w:color w:val="000000"/>
                <w:sz w:val="24"/>
                <w:szCs w:val="24"/>
                <w:highlight w:val="none"/>
              </w:rPr>
            </w:pPr>
            <w:r>
              <w:rPr>
                <w:rFonts w:hint="eastAsia" w:ascii="黑体" w:hAnsi="黑体" w:eastAsia="黑体" w:cs="仿宋_GB2312"/>
                <w:bCs/>
                <w:color w:val="000000"/>
                <w:kern w:val="0"/>
                <w:sz w:val="24"/>
                <w:szCs w:val="24"/>
                <w:highlight w:val="none"/>
              </w:rPr>
              <w:t>序号</w:t>
            </w:r>
          </w:p>
        </w:tc>
        <w:tc>
          <w:tcPr>
            <w:tcW w:w="986"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黑体" w:hAnsi="黑体" w:eastAsia="黑体" w:cs="仿宋_GB2312"/>
                <w:bCs/>
                <w:color w:val="000000"/>
                <w:kern w:val="0"/>
                <w:sz w:val="24"/>
                <w:szCs w:val="24"/>
                <w:highlight w:val="none"/>
              </w:rPr>
            </w:pPr>
            <w:r>
              <w:rPr>
                <w:rFonts w:hint="eastAsia" w:ascii="黑体" w:hAnsi="黑体" w:eastAsia="黑体" w:cs="仿宋_GB2312"/>
                <w:bCs/>
                <w:color w:val="000000"/>
                <w:kern w:val="0"/>
                <w:sz w:val="24"/>
                <w:szCs w:val="24"/>
                <w:highlight w:val="none"/>
              </w:rPr>
              <w:t>违法</w:t>
            </w:r>
          </w:p>
          <w:p>
            <w:pPr>
              <w:widowControl/>
              <w:spacing w:after="0" w:line="360" w:lineRule="exact"/>
              <w:jc w:val="center"/>
              <w:textAlignment w:val="center"/>
              <w:rPr>
                <w:rFonts w:hint="eastAsia" w:ascii="黑体" w:hAnsi="黑体" w:eastAsia="黑体" w:cs="仿宋_GB2312"/>
                <w:bCs/>
                <w:color w:val="000000"/>
                <w:sz w:val="24"/>
                <w:szCs w:val="24"/>
                <w:highlight w:val="none"/>
              </w:rPr>
            </w:pPr>
            <w:r>
              <w:rPr>
                <w:rFonts w:hint="eastAsia" w:ascii="黑体" w:hAnsi="黑体" w:eastAsia="黑体" w:cs="仿宋_GB2312"/>
                <w:bCs/>
                <w:color w:val="000000"/>
                <w:kern w:val="0"/>
                <w:sz w:val="24"/>
                <w:szCs w:val="24"/>
                <w:highlight w:val="none"/>
              </w:rPr>
              <w:t>行为</w:t>
            </w:r>
          </w:p>
        </w:tc>
        <w:tc>
          <w:tcPr>
            <w:tcW w:w="4347"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黑体" w:hAnsi="黑体" w:eastAsia="黑体" w:cs="仿宋_GB2312"/>
                <w:bCs/>
                <w:color w:val="000000"/>
                <w:sz w:val="24"/>
                <w:szCs w:val="24"/>
                <w:highlight w:val="none"/>
              </w:rPr>
            </w:pPr>
            <w:r>
              <w:rPr>
                <w:rFonts w:hint="eastAsia" w:ascii="黑体" w:hAnsi="黑体" w:eastAsia="黑体" w:cs="仿宋_GB2312"/>
                <w:bCs/>
                <w:color w:val="000000"/>
                <w:kern w:val="0"/>
                <w:sz w:val="24"/>
                <w:szCs w:val="24"/>
                <w:highlight w:val="none"/>
              </w:rPr>
              <w:t>处罚依据</w:t>
            </w:r>
          </w:p>
        </w:tc>
        <w:tc>
          <w:tcPr>
            <w:tcW w:w="739"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黑体" w:hAnsi="黑体" w:eastAsia="黑体" w:cs="仿宋_GB2312"/>
                <w:bCs/>
                <w:color w:val="000000"/>
                <w:sz w:val="24"/>
                <w:szCs w:val="24"/>
                <w:highlight w:val="none"/>
              </w:rPr>
            </w:pPr>
            <w:r>
              <w:rPr>
                <w:rFonts w:hint="eastAsia" w:ascii="黑体" w:hAnsi="黑体" w:eastAsia="黑体" w:cs="仿宋_GB2312"/>
                <w:bCs/>
                <w:color w:val="000000"/>
                <w:kern w:val="0"/>
                <w:sz w:val="24"/>
                <w:szCs w:val="24"/>
                <w:highlight w:val="none"/>
              </w:rPr>
              <w:t>裁量因素</w:t>
            </w:r>
          </w:p>
        </w:tc>
        <w:tc>
          <w:tcPr>
            <w:tcW w:w="4536" w:type="dxa"/>
            <w:gridSpan w:val="2"/>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黑体" w:hAnsi="黑体" w:eastAsia="黑体" w:cs="仿宋_GB2312"/>
                <w:bCs/>
                <w:color w:val="000000"/>
                <w:sz w:val="24"/>
                <w:szCs w:val="24"/>
                <w:highlight w:val="none"/>
              </w:rPr>
            </w:pPr>
            <w:r>
              <w:rPr>
                <w:rFonts w:hint="eastAsia" w:ascii="黑体" w:hAnsi="黑体" w:eastAsia="黑体" w:cs="仿宋_GB2312"/>
                <w:bCs/>
                <w:color w:val="000000"/>
                <w:kern w:val="0"/>
                <w:sz w:val="24"/>
                <w:szCs w:val="24"/>
                <w:highlight w:val="none"/>
              </w:rPr>
              <w:t>判定标准</w:t>
            </w:r>
          </w:p>
        </w:tc>
        <w:tc>
          <w:tcPr>
            <w:tcW w:w="3895" w:type="dxa"/>
            <w:vMerge w:val="restart"/>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黑体" w:hAnsi="黑体" w:eastAsia="黑体" w:cs="仿宋_GB2312"/>
                <w:bCs/>
                <w:color w:val="000000"/>
                <w:kern w:val="0"/>
                <w:sz w:val="24"/>
                <w:szCs w:val="24"/>
                <w:highlight w:val="none"/>
              </w:rPr>
            </w:pPr>
            <w:r>
              <w:rPr>
                <w:rFonts w:hint="eastAsia" w:ascii="黑体" w:hAnsi="黑体" w:eastAsia="黑体" w:cs="仿宋_GB2312"/>
                <w:bCs/>
                <w:color w:val="000000"/>
                <w:kern w:val="0"/>
                <w:sz w:val="24"/>
                <w:szCs w:val="24"/>
                <w:highlight w:val="none"/>
              </w:rPr>
              <w:t>处理、处罚标准</w:t>
            </w:r>
          </w:p>
        </w:tc>
      </w:tr>
      <w:tr>
        <w:tblPrEx>
          <w:tblCellMar>
            <w:top w:w="0" w:type="dxa"/>
            <w:left w:w="0" w:type="dxa"/>
            <w:bottom w:w="0" w:type="dxa"/>
            <w:right w:w="0" w:type="dxa"/>
          </w:tblCellMar>
        </w:tblPrEx>
        <w:trPr>
          <w:trHeight w:val="187" w:hRule="atLeast"/>
          <w:jc w:val="center"/>
        </w:trPr>
        <w:tc>
          <w:tcPr>
            <w:tcW w:w="357" w:type="dxa"/>
            <w:vMerge w:val="continue"/>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highlight w:val="none"/>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textAlignment w:val="center"/>
              <w:rPr>
                <w:highlight w:val="none"/>
              </w:rPr>
            </w:pPr>
          </w:p>
        </w:tc>
        <w:tc>
          <w:tcPr>
            <w:tcW w:w="739"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highlight w:val="none"/>
              </w:rPr>
            </w:pPr>
          </w:p>
        </w:tc>
        <w:tc>
          <w:tcPr>
            <w:tcW w:w="3475" w:type="dxa"/>
            <w:tcBorders>
              <w:top w:val="single" w:color="000000" w:sz="4" w:space="0"/>
              <w:left w:val="single" w:color="000000" w:sz="4" w:space="0"/>
              <w:bottom w:val="single" w:color="auto"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楷体_GB2312" w:hAnsi="仿宋_GB2312" w:eastAsia="楷体_GB2312" w:cs="仿宋_GB2312"/>
                <w:b/>
                <w:color w:val="000000"/>
                <w:kern w:val="0"/>
                <w:sz w:val="24"/>
                <w:szCs w:val="24"/>
                <w:highlight w:val="none"/>
              </w:rPr>
            </w:pPr>
            <w:r>
              <w:rPr>
                <w:rFonts w:hint="eastAsia" w:ascii="楷体_GB2312" w:hAnsi="仿宋_GB2312" w:eastAsia="楷体_GB2312" w:cs="仿宋_GB2312"/>
                <w:b/>
                <w:color w:val="000000"/>
                <w:kern w:val="0"/>
                <w:sz w:val="24"/>
                <w:szCs w:val="24"/>
                <w:highlight w:val="none"/>
              </w:rPr>
              <w:t>程度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楷体_GB2312" w:hAnsi="仿宋_GB2312" w:eastAsia="楷体_GB2312" w:cs="仿宋_GB2312"/>
                <w:b/>
                <w:color w:val="000000"/>
                <w:kern w:val="0"/>
                <w:sz w:val="24"/>
                <w:szCs w:val="24"/>
                <w:highlight w:val="none"/>
              </w:rPr>
            </w:pPr>
            <w:r>
              <w:rPr>
                <w:rFonts w:hint="eastAsia" w:ascii="楷体_GB2312" w:hAnsi="仿宋_GB2312" w:eastAsia="楷体_GB2312" w:cs="仿宋_GB2312"/>
                <w:b/>
                <w:color w:val="000000"/>
                <w:kern w:val="0"/>
                <w:sz w:val="24"/>
                <w:szCs w:val="24"/>
                <w:highlight w:val="none"/>
              </w:rPr>
              <w:t>百分值</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hint="eastAsia" w:ascii="仿宋_GB2312" w:hAnsi="仿宋_GB2312" w:eastAsia="仿宋_GB2312" w:cs="仿宋_GB2312"/>
                <w:b/>
                <w:color w:val="000000"/>
                <w:kern w:val="0"/>
                <w:sz w:val="24"/>
                <w:szCs w:val="24"/>
                <w:highlight w:val="none"/>
              </w:rPr>
            </w:pPr>
          </w:p>
        </w:tc>
      </w:tr>
      <w:tr>
        <w:tblPrEx>
          <w:tblCellMar>
            <w:top w:w="0" w:type="dxa"/>
            <w:left w:w="0" w:type="dxa"/>
            <w:bottom w:w="0" w:type="dxa"/>
            <w:right w:w="0" w:type="dxa"/>
          </w:tblCellMar>
        </w:tblPrEx>
        <w:trPr>
          <w:trHeight w:val="1158" w:hRule="atLeast"/>
          <w:jc w:val="center"/>
        </w:trPr>
        <w:tc>
          <w:tcPr>
            <w:tcW w:w="357" w:type="dxa"/>
            <w:vMerge w:val="restart"/>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cs="仿宋_GB2312"/>
                <w:b w:val="0"/>
                <w:bCs w:val="0"/>
                <w:color w:val="000000"/>
                <w:kern w:val="0"/>
                <w:sz w:val="24"/>
                <w:szCs w:val="24"/>
                <w:highlight w:val="none"/>
                <w:lang w:val="en-US" w:eastAsia="zh-CN"/>
              </w:rPr>
              <w:t>1</w:t>
            </w:r>
          </w:p>
        </w:tc>
        <w:tc>
          <w:tcPr>
            <w:tcW w:w="986" w:type="dxa"/>
            <w:vMerge w:val="restart"/>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textAlignment w:val="center"/>
              <w:rPr>
                <w:rFonts w:hint="eastAsia" w:ascii="Times New Roman" w:hAnsi="Times New Roman" w:eastAsia="仿宋_GB2312" w:cs="仿宋_GB2312"/>
                <w:color w:val="000000"/>
                <w:kern w:val="0"/>
                <w:sz w:val="24"/>
                <w:szCs w:val="24"/>
                <w:highlight w:val="none"/>
                <w:lang w:val="en-US" w:eastAsia="zh-CN"/>
              </w:rPr>
            </w:pPr>
            <w:r>
              <w:rPr>
                <w:rFonts w:hint="eastAsia" w:eastAsia="仿宋_GB2312" w:cs="仿宋_GB2312"/>
                <w:color w:val="000000"/>
                <w:kern w:val="0"/>
                <w:sz w:val="24"/>
                <w:szCs w:val="24"/>
                <w:highlight w:val="none"/>
                <w:lang w:eastAsia="zh-CN"/>
              </w:rPr>
              <w:t>违规</w:t>
            </w:r>
            <w:r>
              <w:rPr>
                <w:rFonts w:hint="eastAsia" w:ascii="Times New Roman" w:hAnsi="Times New Roman" w:eastAsia="仿宋_GB2312" w:cs="仿宋_GB2312"/>
                <w:color w:val="000000"/>
                <w:kern w:val="0"/>
                <w:sz w:val="24"/>
                <w:szCs w:val="24"/>
                <w:highlight w:val="none"/>
                <w:lang w:eastAsia="zh-CN"/>
              </w:rPr>
              <w:t>经营第一类监控化学品、未经批准经营第二类监控化学品的</w:t>
            </w:r>
          </w:p>
          <w:p>
            <w:pPr>
              <w:widowControl/>
              <w:spacing w:line="360" w:lineRule="exact"/>
              <w:jc w:val="center"/>
              <w:textAlignment w:val="center"/>
              <w:rPr>
                <w:rFonts w:ascii="Times New Roman" w:hAnsi="Times New Roman" w:eastAsia="仿宋_GB2312"/>
                <w:sz w:val="24"/>
                <w:szCs w:val="24"/>
                <w:highlight w:val="none"/>
              </w:rPr>
            </w:pPr>
          </w:p>
        </w:tc>
        <w:tc>
          <w:tcPr>
            <w:tcW w:w="4347" w:type="dxa"/>
            <w:vMerge w:val="restart"/>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left"/>
              <w:textAlignment w:val="center"/>
              <w:rPr>
                <w:rFonts w:hint="eastAsia" w:ascii="Times New Roman" w:hAnsi="Times New Roman" w:eastAsia="仿宋_GB2312" w:cs="仿宋_GB2312"/>
                <w:b/>
                <w:bCs/>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《中华人民共和国监控化学品管理条例》</w:t>
            </w:r>
          </w:p>
          <w:p>
            <w:pPr>
              <w:widowControl/>
              <w:spacing w:after="0" w:line="360" w:lineRule="exact"/>
              <w:ind w:firstLine="482" w:firstLineChars="200"/>
              <w:jc w:val="left"/>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第二十三条</w:t>
            </w:r>
            <w:r>
              <w:rPr>
                <w:rFonts w:hint="eastAsia" w:ascii="Times New Roman" w:hAnsi="Times New Roman" w:eastAsia="仿宋_GB2312" w:cs="仿宋_GB2312"/>
                <w:color w:val="000000"/>
                <w:kern w:val="0"/>
                <w:sz w:val="24"/>
                <w:szCs w:val="24"/>
                <w:highlight w:val="none"/>
              </w:rPr>
              <w:t xml:space="preserve"> 违反本条例规定，经营监控化学品的，由省、自治区、直辖市人民政府化学工业主管部门</w:t>
            </w:r>
            <w:r>
              <w:rPr>
                <w:rFonts w:hint="eastAsia" w:ascii="Times New Roman" w:hAnsi="Times New Roman" w:eastAsia="仿宋_GB2312" w:cs="仿宋_GB2312"/>
                <w:kern w:val="0"/>
                <w:sz w:val="24"/>
                <w:szCs w:val="24"/>
                <w:highlight w:val="none"/>
              </w:rPr>
              <w:t>没收其违法经营的监控化学品和违法所得，可以并处违法经营额1倍以上2倍以下的罚款。</w:t>
            </w:r>
            <w:r>
              <w:rPr>
                <w:rFonts w:hint="eastAsia" w:ascii="Times New Roman" w:hAnsi="Times New Roman" w:eastAsia="仿宋_GB2312" w:cs="仿宋_GB2312"/>
                <w:color w:val="000000"/>
                <w:kern w:val="0"/>
                <w:sz w:val="24"/>
                <w:szCs w:val="24"/>
                <w:highlight w:val="none"/>
              </w:rPr>
              <w:br w:type="textWrapping"/>
            </w:r>
            <w:r>
              <w:rPr>
                <w:rFonts w:hint="eastAsia" w:ascii="Times New Roman" w:hAnsi="Times New Roman" w:eastAsia="仿宋_GB2312" w:cs="仿宋_GB2312"/>
                <w:b/>
                <w:bCs/>
                <w:color w:val="000000"/>
                <w:spacing w:val="-11"/>
                <w:kern w:val="0"/>
                <w:sz w:val="24"/>
                <w:szCs w:val="24"/>
                <w:highlight w:val="none"/>
              </w:rPr>
              <w:t>《&lt;中华人民共和国监控化学品管理条例&gt;实施细则》</w:t>
            </w:r>
          </w:p>
          <w:p>
            <w:pPr>
              <w:widowControl/>
              <w:numPr>
                <w:ilvl w:val="-1"/>
                <w:numId w:val="0"/>
              </w:numPr>
              <w:spacing w:after="0" w:line="360" w:lineRule="exact"/>
              <w:ind w:firstLine="482" w:firstLineChars="200"/>
              <w:jc w:val="left"/>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lang w:eastAsia="zh-CN"/>
              </w:rPr>
              <w:t>第十七条</w:t>
            </w:r>
            <w:r>
              <w:rPr>
                <w:rFonts w:hint="eastAsia" w:ascii="Times New Roman" w:hAnsi="Times New Roman" w:eastAsia="仿宋_GB2312" w:cs="仿宋_GB2312"/>
                <w:b w:val="0"/>
                <w:bCs w:val="0"/>
                <w:color w:val="000000"/>
                <w:kern w:val="0"/>
                <w:sz w:val="24"/>
                <w:szCs w:val="24"/>
                <w:highlight w:val="none"/>
                <w:lang w:val="en-US" w:eastAsia="zh-CN"/>
              </w:rPr>
              <w:t xml:space="preserve"> </w:t>
            </w:r>
            <w:r>
              <w:rPr>
                <w:rFonts w:hint="eastAsia" w:ascii="Times New Roman" w:hAnsi="Times New Roman" w:eastAsia="仿宋_GB2312" w:cs="仿宋_GB2312"/>
                <w:color w:val="000000"/>
                <w:kern w:val="0"/>
                <w:sz w:val="24"/>
                <w:szCs w:val="24"/>
                <w:highlight w:val="none"/>
              </w:rPr>
              <w:t>国家对第二类监控化学品的经营、第一类和第二类监控化学品的使用，实行许可制度。</w:t>
            </w:r>
          </w:p>
          <w:p>
            <w:pPr>
              <w:widowControl/>
              <w:spacing w:after="0" w:line="360" w:lineRule="exact"/>
              <w:ind w:firstLine="482" w:firstLineChars="200"/>
              <w:jc w:val="left"/>
              <w:textAlignment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b/>
                <w:bCs/>
                <w:color w:val="000000"/>
                <w:kern w:val="0"/>
                <w:sz w:val="24"/>
                <w:szCs w:val="24"/>
                <w:highlight w:val="none"/>
              </w:rPr>
              <w:t>第四十九条</w:t>
            </w:r>
            <w:r>
              <w:rPr>
                <w:rFonts w:hint="eastAsia" w:ascii="Times New Roman" w:hAnsi="Times New Roman" w:eastAsia="仿宋_GB2312" w:cs="仿宋_GB2312"/>
                <w:color w:val="000000"/>
                <w:kern w:val="0"/>
                <w:sz w:val="24"/>
                <w:szCs w:val="24"/>
                <w:highlight w:val="none"/>
              </w:rPr>
              <w:t xml:space="preserve"> 监控化学品生产特别许可证、经营许可证、使用许可证有效期届满，未办理延期手续仍继续生产、经营、使用的，按照《中华人民共和国监控化学品管理条例》第二十一条、第二</w:t>
            </w:r>
            <w:r>
              <w:rPr>
                <w:rFonts w:hint="eastAsia" w:ascii="Times New Roman" w:hAnsi="Times New Roman" w:eastAsia="仿宋_GB2312" w:cs="仿宋_GB2312"/>
                <w:sz w:val="24"/>
                <w:szCs w:val="24"/>
                <w:highlight w:val="none"/>
              </w:rPr>
              <w:t>十二条、第二十三条的规定处罚。</w:t>
            </w:r>
          </w:p>
          <w:p>
            <w:pPr>
              <w:widowControl/>
              <w:spacing w:line="360" w:lineRule="exact"/>
              <w:ind w:firstLine="482" w:firstLineChars="200"/>
              <w:jc w:val="left"/>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第五十一条</w:t>
            </w:r>
            <w:r>
              <w:rPr>
                <w:rFonts w:hint="eastAsia" w:ascii="Times New Roman" w:hAnsi="Times New Roman" w:eastAsia="仿宋_GB2312" w:cs="仿宋_GB2312"/>
                <w:color w:val="000000"/>
                <w:kern w:val="0"/>
                <w:sz w:val="24"/>
                <w:szCs w:val="24"/>
                <w:highlight w:val="none"/>
              </w:rPr>
              <w:t xml:space="preserve"> 违反本细则第十七条的规定，未经批准经营、使用第二类监控化学品的，按照《中华人民共和国监控化学品管理条例》第二十二条、第二十三条的规定处罚。</w:t>
            </w: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r>
              <w:rPr>
                <w:rFonts w:hint="eastAsia" w:ascii="Times New Roman" w:hAnsi="Times New Roman" w:eastAsia="仿宋_GB2312" w:cs="仿宋_GB2312"/>
                <w:color w:val="000000"/>
                <w:kern w:val="0"/>
                <w:sz w:val="24"/>
                <w:szCs w:val="24"/>
                <w:highlight w:val="none"/>
                <w:lang w:eastAsia="zh-CN"/>
              </w:rPr>
              <w:t>重量</w:t>
            </w:r>
            <w:r>
              <w:rPr>
                <w:rFonts w:hint="eastAsia" w:ascii="Times New Roman" w:hAnsi="Times New Roman" w:eastAsia="仿宋_GB2312" w:cs="仿宋_GB2312"/>
                <w:color w:val="000000"/>
                <w:kern w:val="0"/>
                <w:sz w:val="24"/>
                <w:szCs w:val="24"/>
                <w:highlight w:val="none"/>
              </w:rPr>
              <w:t>阈值</w:t>
            </w:r>
          </w:p>
        </w:tc>
        <w:tc>
          <w:tcPr>
            <w:tcW w:w="3475" w:type="dxa"/>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未经批准经营第二类监控化学品，数量未超过本裁量基准规定的阈值</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default" w:ascii="Times New Roman" w:hAnsi="Times New Roman" w:eastAsia="仿宋_GB2312" w:cs="仿宋_GB2312"/>
                <w:color w:val="000000"/>
                <w:kern w:val="0"/>
                <w:sz w:val="24"/>
                <w:szCs w:val="24"/>
                <w:highlight w:val="none"/>
                <w:lang w:val="en-US" w:eastAsia="zh-CN"/>
              </w:rPr>
            </w:pPr>
            <w:r>
              <w:rPr>
                <w:rFonts w:hint="eastAsia" w:ascii="Times New Roman" w:hAnsi="Times New Roman" w:eastAsia="仿宋_GB2312" w:cs="仿宋_GB2312"/>
                <w:color w:val="000000"/>
                <w:kern w:val="0"/>
                <w:sz w:val="24"/>
                <w:szCs w:val="24"/>
                <w:highlight w:val="none"/>
                <w:lang w:val="en-US" w:eastAsia="zh-CN"/>
              </w:rPr>
              <w:t>1</w:t>
            </w:r>
            <w:r>
              <w:rPr>
                <w:rFonts w:hint="eastAsia" w:eastAsia="仿宋_GB2312" w:cs="仿宋_GB2312"/>
                <w:color w:val="000000"/>
                <w:kern w:val="0"/>
                <w:sz w:val="24"/>
                <w:szCs w:val="24"/>
                <w:highlight w:val="none"/>
                <w:lang w:val="en-US" w:eastAsia="zh-CN"/>
              </w:rPr>
              <w:t>0</w:t>
            </w:r>
            <w:r>
              <w:rPr>
                <w:rFonts w:hint="eastAsia" w:ascii="Times New Roman" w:hAnsi="Times New Roman" w:eastAsia="仿宋_GB2312" w:cs="仿宋_GB2312"/>
                <w:color w:val="000000"/>
                <w:kern w:val="0"/>
                <w:sz w:val="24"/>
                <w:szCs w:val="24"/>
                <w:highlight w:val="none"/>
                <w:lang w:val="en-US" w:eastAsia="zh-CN"/>
              </w:rPr>
              <w:t>%</w:t>
            </w:r>
          </w:p>
        </w:tc>
        <w:tc>
          <w:tcPr>
            <w:tcW w:w="3895" w:type="dxa"/>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符合《中华人民共和国行政处罚法》等法律、法规、规章规定的不予行政处罚情形的，依法不予行政处罚。</w:t>
            </w:r>
          </w:p>
        </w:tc>
      </w:tr>
      <w:tr>
        <w:tblPrEx>
          <w:tblCellMar>
            <w:top w:w="0" w:type="dxa"/>
            <w:left w:w="0" w:type="dxa"/>
            <w:bottom w:w="0" w:type="dxa"/>
            <w:right w:w="0" w:type="dxa"/>
          </w:tblCellMar>
        </w:tblPrEx>
        <w:trPr>
          <w:trHeight w:val="928"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未经批准经营第二类监控化学品，数量超过本裁量基准规定的阈值</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eastAsia="仿宋_GB2312" w:cs="仿宋_GB2312"/>
                <w:color w:val="000000"/>
                <w:kern w:val="0"/>
                <w:sz w:val="24"/>
                <w:szCs w:val="24"/>
                <w:highlight w:val="none"/>
                <w:lang w:val="en-US" w:eastAsia="zh-CN"/>
              </w:rPr>
              <w:t>50</w:t>
            </w:r>
            <w:r>
              <w:rPr>
                <w:rFonts w:hint="eastAsia" w:ascii="Times New Roman" w:hAnsi="Times New Roman" w:eastAsia="仿宋_GB2312" w:cs="仿宋_GB2312"/>
                <w:color w:val="000000"/>
                <w:kern w:val="0"/>
                <w:sz w:val="24"/>
                <w:szCs w:val="24"/>
                <w:highlight w:val="none"/>
              </w:rPr>
              <w:t>％</w:t>
            </w:r>
          </w:p>
        </w:tc>
        <w:tc>
          <w:tcPr>
            <w:tcW w:w="3895" w:type="dxa"/>
            <w:vMerge w:val="restart"/>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裁量总分值不足</w:t>
            </w:r>
            <w:r>
              <w:rPr>
                <w:rFonts w:hint="eastAsia" w:ascii="Times New Roman" w:hAnsi="Times New Roman" w:eastAsia="仿宋_GB2312" w:cs="仿宋_GB2312"/>
                <w:color w:val="000000"/>
                <w:kern w:val="0"/>
                <w:sz w:val="24"/>
                <w:szCs w:val="24"/>
                <w:highlight w:val="none"/>
                <w:lang w:val="en-US" w:eastAsia="zh-CN"/>
              </w:rPr>
              <w:t>20</w:t>
            </w:r>
            <w:r>
              <w:rPr>
                <w:rFonts w:hint="eastAsia" w:ascii="Times New Roman" w:hAnsi="Times New Roman" w:eastAsia="仿宋_GB2312" w:cs="仿宋_GB2312"/>
                <w:color w:val="000000"/>
                <w:kern w:val="0"/>
                <w:sz w:val="24"/>
                <w:szCs w:val="24"/>
                <w:highlight w:val="none"/>
              </w:rPr>
              <w:t>％的，没收违法经营的监控化学品和违法所得。</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2</w:t>
            </w:r>
            <w:r>
              <w:rPr>
                <w:rFonts w:hint="eastAsia" w:ascii="Times New Roman" w:hAnsi="Times New Roman" w:eastAsia="仿宋_GB2312" w:cs="仿宋_GB2312"/>
                <w:color w:val="000000"/>
                <w:kern w:val="0"/>
                <w:sz w:val="24"/>
                <w:szCs w:val="24"/>
                <w:highlight w:val="none"/>
              </w:rPr>
              <w:t>0％以上不足</w:t>
            </w:r>
            <w:r>
              <w:rPr>
                <w:rFonts w:hint="eastAsia" w:ascii="Times New Roman" w:hAnsi="Times New Roman" w:eastAsia="仿宋_GB2312" w:cs="仿宋_GB2312"/>
                <w:color w:val="000000"/>
                <w:kern w:val="0"/>
                <w:sz w:val="24"/>
                <w:szCs w:val="24"/>
                <w:highlight w:val="none"/>
                <w:lang w:val="en-US" w:eastAsia="zh-CN"/>
              </w:rPr>
              <w:t>3</w:t>
            </w:r>
            <w:r>
              <w:rPr>
                <w:rFonts w:hint="eastAsia" w:ascii="Times New Roman" w:hAnsi="Times New Roman" w:eastAsia="仿宋_GB2312" w:cs="仿宋_GB2312"/>
                <w:color w:val="000000"/>
                <w:kern w:val="0"/>
                <w:sz w:val="24"/>
                <w:szCs w:val="24"/>
                <w:highlight w:val="none"/>
              </w:rPr>
              <w:t>0％的，没收违法经营的监控化学品和违法所得，并处违法经营额1倍的罚款。</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3</w:t>
            </w:r>
            <w:r>
              <w:rPr>
                <w:rFonts w:hint="eastAsia" w:ascii="Times New Roman" w:hAnsi="Times New Roman" w:eastAsia="仿宋_GB2312" w:cs="仿宋_GB2312"/>
                <w:color w:val="000000"/>
                <w:kern w:val="0"/>
                <w:sz w:val="24"/>
                <w:szCs w:val="24"/>
                <w:highlight w:val="none"/>
              </w:rPr>
              <w:t>0％以上不足</w:t>
            </w: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0％的，没收违法经营的监控化学品和违法所得，并处违法经营额1.3倍的罚款。</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0％以上不足</w:t>
            </w:r>
            <w:r>
              <w:rPr>
                <w:rFonts w:hint="eastAsia" w:ascii="Times New Roman" w:hAnsi="Times New Roman" w:eastAsia="仿宋_GB2312" w:cs="仿宋_GB2312"/>
                <w:color w:val="000000"/>
                <w:kern w:val="0"/>
                <w:sz w:val="24"/>
                <w:szCs w:val="24"/>
                <w:highlight w:val="none"/>
                <w:lang w:val="en-US" w:eastAsia="zh-CN"/>
              </w:rPr>
              <w:t>7</w:t>
            </w:r>
            <w:r>
              <w:rPr>
                <w:rFonts w:hint="eastAsia" w:ascii="Times New Roman" w:hAnsi="Times New Roman" w:eastAsia="仿宋_GB2312" w:cs="仿宋_GB2312"/>
                <w:color w:val="000000"/>
                <w:kern w:val="0"/>
                <w:sz w:val="24"/>
                <w:szCs w:val="24"/>
                <w:highlight w:val="none"/>
              </w:rPr>
              <w:t>0％的，没收违法经营的监控化学品和违法所得，并处违法经营额1.</w:t>
            </w: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倍的罚款。</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7</w:t>
            </w:r>
            <w:r>
              <w:rPr>
                <w:rFonts w:hint="eastAsia" w:ascii="Times New Roman" w:hAnsi="Times New Roman" w:eastAsia="仿宋_GB2312" w:cs="仿宋_GB2312"/>
                <w:color w:val="000000"/>
                <w:kern w:val="0"/>
                <w:sz w:val="24"/>
                <w:szCs w:val="24"/>
                <w:highlight w:val="none"/>
              </w:rPr>
              <w:t>0％以上不足100％的，没收违法经营的监控化学品和违法所得，并处违法经营额1.9倍的罚款。</w:t>
            </w:r>
          </w:p>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裁量总分值为100％的，没收违法经营的监控化学品和违法所得，并处违法经营额2倍的罚款。</w:t>
            </w:r>
          </w:p>
        </w:tc>
      </w:tr>
      <w:tr>
        <w:tblPrEx>
          <w:tblCellMar>
            <w:top w:w="0" w:type="dxa"/>
            <w:left w:w="0" w:type="dxa"/>
            <w:bottom w:w="0" w:type="dxa"/>
            <w:right w:w="0" w:type="dxa"/>
          </w:tblCellMar>
        </w:tblPrEx>
        <w:trPr>
          <w:trHeight w:val="455"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r>
              <w:rPr>
                <w:rFonts w:hint="eastAsia" w:ascii="Times New Roman" w:hAnsi="Times New Roman" w:eastAsia="仿宋_GB2312" w:cs="仿宋_GB2312"/>
                <w:color w:val="000000"/>
                <w:kern w:val="0"/>
                <w:sz w:val="24"/>
                <w:szCs w:val="24"/>
                <w:highlight w:val="none"/>
              </w:rPr>
              <w:t>违法行为持续时间</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不足1年</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val="en-US" w:eastAsia="zh-CN"/>
              </w:rPr>
              <w:t>3</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455"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1年以上，不足2年</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455"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2年以上</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eastAsia="仿宋_GB2312" w:cs="仿宋_GB2312"/>
                <w:color w:val="000000"/>
                <w:kern w:val="0"/>
                <w:sz w:val="24"/>
                <w:szCs w:val="24"/>
                <w:highlight w:val="none"/>
                <w:lang w:val="en-US" w:eastAsia="zh-CN"/>
              </w:rPr>
              <w:t>7</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455"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cs="仿宋_GB2312"/>
                <w:color w:val="000000"/>
                <w:kern w:val="0"/>
                <w:sz w:val="24"/>
                <w:szCs w:val="24"/>
                <w:highlight w:val="none"/>
              </w:rPr>
              <w:t>配合检查、调查情况</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eastAsia="zh-CN"/>
              </w:rPr>
              <w:t>如实提供</w:t>
            </w:r>
            <w:r>
              <w:rPr>
                <w:rFonts w:hint="eastAsia" w:ascii="Times New Roman" w:hAnsi="Times New Roman" w:eastAsia="仿宋_GB2312" w:cs="仿宋_GB2312"/>
                <w:color w:val="000000"/>
                <w:kern w:val="0"/>
                <w:sz w:val="24"/>
                <w:szCs w:val="24"/>
                <w:highlight w:val="none"/>
              </w:rPr>
              <w:t>完整的购买、储存、销售等原始记录和统计台账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0％</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455"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eastAsia="仿宋_GB2312" w:cs="仿宋_GB2312"/>
                <w:color w:val="000000"/>
                <w:kern w:val="0"/>
                <w:sz w:val="24"/>
                <w:szCs w:val="24"/>
                <w:highlight w:val="none"/>
                <w:lang w:eastAsia="zh-CN"/>
              </w:rPr>
              <w:t>仅</w:t>
            </w:r>
            <w:r>
              <w:rPr>
                <w:rFonts w:hint="eastAsia" w:ascii="Times New Roman" w:hAnsi="Times New Roman" w:eastAsia="仿宋_GB2312" w:cs="仿宋_GB2312"/>
                <w:color w:val="000000"/>
                <w:kern w:val="0"/>
                <w:sz w:val="24"/>
                <w:szCs w:val="24"/>
                <w:highlight w:val="none"/>
                <w:lang w:eastAsia="zh-CN"/>
              </w:rPr>
              <w:t>提供</w:t>
            </w:r>
            <w:r>
              <w:rPr>
                <w:rFonts w:hint="eastAsia" w:ascii="Times New Roman" w:hAnsi="Times New Roman" w:eastAsia="仿宋_GB2312" w:cs="仿宋_GB2312"/>
                <w:color w:val="000000"/>
                <w:kern w:val="0"/>
                <w:sz w:val="24"/>
                <w:szCs w:val="24"/>
                <w:highlight w:val="none"/>
              </w:rPr>
              <w:t>部分购买、储存、销售等原始记录和统计台账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val="en-US" w:eastAsia="zh-CN"/>
              </w:rPr>
              <w:t>10</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455" w:hRule="atLeast"/>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无法提供</w:t>
            </w:r>
            <w:r>
              <w:rPr>
                <w:rFonts w:hint="eastAsia" w:ascii="Times New Roman" w:hAnsi="Times New Roman" w:eastAsia="仿宋_GB2312" w:cs="仿宋_GB2312"/>
                <w:color w:val="000000"/>
                <w:kern w:val="0"/>
                <w:sz w:val="24"/>
                <w:szCs w:val="24"/>
                <w:highlight w:val="none"/>
                <w:lang w:eastAsia="zh-CN"/>
              </w:rPr>
              <w:t>或拒不提供真实的</w:t>
            </w:r>
            <w:r>
              <w:rPr>
                <w:rFonts w:hint="eastAsia" w:ascii="Times New Roman" w:hAnsi="Times New Roman" w:eastAsia="仿宋_GB2312" w:cs="仿宋_GB2312"/>
                <w:color w:val="000000"/>
                <w:kern w:val="0"/>
                <w:sz w:val="24"/>
                <w:szCs w:val="24"/>
                <w:highlight w:val="none"/>
              </w:rPr>
              <w:t>购买、储存、销售等原始记录和统计台账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val="en-US" w:eastAsia="zh-CN"/>
              </w:rPr>
              <w:t>1</w:t>
            </w:r>
            <w:r>
              <w:rPr>
                <w:rFonts w:hint="eastAsia"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r>
              <w:rPr>
                <w:rFonts w:hint="eastAsia" w:ascii="Times New Roman" w:hAnsi="Times New Roman" w:eastAsia="仿宋_GB2312" w:cs="仿宋_GB2312"/>
                <w:color w:val="000000"/>
                <w:kern w:val="0"/>
                <w:sz w:val="24"/>
                <w:szCs w:val="24"/>
                <w:highlight w:val="none"/>
              </w:rPr>
              <w:t>违法行为发生次数</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1次</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0％</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2次</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eastAsia="仿宋_GB2312" w:cs="仿宋_GB2312"/>
                <w:color w:val="000000"/>
                <w:kern w:val="0"/>
                <w:sz w:val="24"/>
                <w:szCs w:val="24"/>
                <w:highlight w:val="none"/>
                <w:lang w:val="en-US" w:eastAsia="zh-CN"/>
              </w:rPr>
              <w:t>25</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jc w:val="center"/>
        </w:trPr>
        <w:tc>
          <w:tcPr>
            <w:tcW w:w="35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highlight w:val="none"/>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3次以上</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eastAsia="仿宋_GB2312" w:cs="仿宋_GB2312"/>
                <w:color w:val="000000"/>
                <w:kern w:val="0"/>
                <w:sz w:val="24"/>
                <w:szCs w:val="24"/>
                <w:highlight w:val="none"/>
                <w:lang w:val="en-US" w:eastAsia="zh-CN"/>
              </w:rPr>
              <w:t>28</w:t>
            </w:r>
            <w:r>
              <w:rPr>
                <w:rFonts w:hint="eastAsia" w:ascii="Times New Roman" w:hAnsi="Times New Roman" w:eastAsia="仿宋_GB2312" w:cs="仿宋_GB2312"/>
                <w:color w:val="000000"/>
                <w:kern w:val="0"/>
                <w:sz w:val="24"/>
                <w:szCs w:val="24"/>
                <w:highlight w:val="none"/>
              </w:rPr>
              <w:t>％</w:t>
            </w:r>
          </w:p>
        </w:tc>
        <w:tc>
          <w:tcPr>
            <w:tcW w:w="3895" w:type="dxa"/>
            <w:vMerge w:val="continue"/>
            <w:tcBorders>
              <w:top w:val="single" w:color="000000" w:sz="4" w:space="0"/>
              <w:left w:val="thinThickSmallGap" w:color="000000" w:sz="12" w:space="0"/>
              <w:bottom w:val="single" w:color="000000" w:sz="4" w:space="0"/>
              <w:right w:val="single" w:color="auto" w:sz="4" w:space="0"/>
            </w:tcBorders>
            <w:tcMar>
              <w:top w:w="57" w:type="dxa"/>
              <w:left w:w="57" w:type="dxa"/>
              <w:bottom w:w="57" w:type="dxa"/>
              <w:right w:w="57" w:type="dxa"/>
            </w:tcMar>
            <w:vAlign w:val="center"/>
          </w:tcPr>
          <w:p>
            <w:pPr>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1490" w:hRule="atLeast"/>
          <w:jc w:val="center"/>
        </w:trPr>
        <w:tc>
          <w:tcPr>
            <w:tcW w:w="357"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986"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4347"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highlight w:val="none"/>
              </w:rPr>
            </w:pPr>
          </w:p>
        </w:tc>
        <w:tc>
          <w:tcPr>
            <w:tcW w:w="5275" w:type="dxa"/>
            <w:gridSpan w:val="3"/>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sz w:val="24"/>
                <w:szCs w:val="24"/>
                <w:highlight w:val="none"/>
                <w:lang w:val="en-US" w:eastAsia="zh-CN"/>
              </w:rPr>
            </w:pPr>
            <w:r>
              <w:rPr>
                <w:rFonts w:hint="eastAsia" w:eastAsia="仿宋_GB2312" w:cs="仿宋_GB2312"/>
                <w:color w:val="000000"/>
                <w:kern w:val="0"/>
                <w:sz w:val="24"/>
                <w:szCs w:val="24"/>
                <w:highlight w:val="none"/>
                <w:lang w:eastAsia="zh-CN"/>
              </w:rPr>
              <w:t>违规</w:t>
            </w:r>
            <w:r>
              <w:rPr>
                <w:rFonts w:hint="eastAsia" w:ascii="Times New Roman" w:hAnsi="Times New Roman" w:eastAsia="仿宋_GB2312" w:cs="仿宋_GB2312"/>
                <w:color w:val="000000"/>
                <w:kern w:val="0"/>
                <w:sz w:val="24"/>
                <w:szCs w:val="24"/>
                <w:highlight w:val="none"/>
              </w:rPr>
              <w:t>经营第一类监控化学品</w:t>
            </w:r>
          </w:p>
        </w:tc>
        <w:tc>
          <w:tcPr>
            <w:tcW w:w="3895" w:type="dxa"/>
            <w:tcBorders>
              <w:top w:val="single" w:color="000000" w:sz="4" w:space="0"/>
              <w:left w:val="thinThickSmallGap" w:color="000000" w:sz="12" w:space="0"/>
              <w:bottom w:val="single" w:color="auto" w:sz="4" w:space="0"/>
              <w:right w:val="single" w:color="auto" w:sz="4" w:space="0"/>
            </w:tcBorders>
            <w:tcMar>
              <w:top w:w="57" w:type="dxa"/>
              <w:left w:w="57" w:type="dxa"/>
              <w:bottom w:w="57" w:type="dxa"/>
              <w:right w:w="57" w:type="dxa"/>
            </w:tcMar>
            <w:vAlign w:val="center"/>
          </w:tcPr>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没收违法经营的监控化学品和违法所得，并处违法经营额2倍的罚款。</w:t>
            </w:r>
          </w:p>
        </w:tc>
      </w:tr>
      <w:tr>
        <w:tblPrEx>
          <w:tblCellMar>
            <w:top w:w="0" w:type="dxa"/>
            <w:left w:w="0" w:type="dxa"/>
            <w:bottom w:w="0" w:type="dxa"/>
            <w:right w:w="0" w:type="dxa"/>
          </w:tblCellMar>
        </w:tblPrEx>
        <w:trPr>
          <w:trHeight w:val="506" w:hRule="atLeast"/>
          <w:jc w:val="center"/>
        </w:trPr>
        <w:tc>
          <w:tcPr>
            <w:tcW w:w="357"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cs="仿宋_GB2312"/>
                <w:b w:val="0"/>
                <w:bCs w:val="0"/>
                <w:color w:val="000000"/>
                <w:kern w:val="0"/>
                <w:sz w:val="24"/>
                <w:szCs w:val="24"/>
                <w:highlight w:val="none"/>
                <w:lang w:val="en-US" w:eastAsia="zh-CN"/>
              </w:rPr>
              <w:t>2</w:t>
            </w:r>
          </w:p>
        </w:tc>
        <w:tc>
          <w:tcPr>
            <w:tcW w:w="986"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default" w:ascii="Times New Roman" w:hAnsi="Times New Roman" w:eastAsia="仿宋_GB2312"/>
                <w:sz w:val="24"/>
                <w:szCs w:val="24"/>
                <w:highlight w:val="none"/>
                <w:vertAlign w:val="superscript"/>
                <w:lang w:val="en-US" w:eastAsia="zh-CN"/>
              </w:rPr>
            </w:pPr>
            <w:r>
              <w:rPr>
                <w:rFonts w:hint="eastAsia" w:ascii="Times New Roman" w:hAnsi="Times New Roman" w:eastAsia="仿宋_GB2312" w:cs="仿宋_GB2312"/>
                <w:color w:val="000000"/>
                <w:kern w:val="0"/>
                <w:sz w:val="24"/>
                <w:szCs w:val="24"/>
                <w:highlight w:val="none"/>
                <w:lang w:eastAsia="zh-CN"/>
              </w:rPr>
              <w:t>未按规定委托被指定单位进出口第一类、第二类、第三类监控化学品</w:t>
            </w:r>
            <w:r>
              <w:rPr>
                <w:rFonts w:hint="eastAsia" w:eastAsia="仿宋_GB2312" w:cs="仿宋_GB2312"/>
                <w:color w:val="000000"/>
                <w:kern w:val="0"/>
                <w:sz w:val="24"/>
                <w:szCs w:val="24"/>
                <w:highlight w:val="none"/>
                <w:lang w:eastAsia="zh-CN"/>
              </w:rPr>
              <w:t>的</w:t>
            </w:r>
            <w:r>
              <w:rPr>
                <w:rFonts w:hint="eastAsia" w:ascii="Times New Roman" w:hAnsi="Times New Roman" w:eastAsia="仿宋_GB2312" w:cs="仿宋_GB2312"/>
                <w:color w:val="000000"/>
                <w:kern w:val="0"/>
                <w:sz w:val="24"/>
                <w:szCs w:val="24"/>
                <w:highlight w:val="none"/>
                <w:vertAlign w:val="superscript"/>
                <w:lang w:val="en-US" w:eastAsia="zh-CN"/>
              </w:rPr>
              <w:t>1</w:t>
            </w:r>
          </w:p>
        </w:tc>
        <w:tc>
          <w:tcPr>
            <w:tcW w:w="4347"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left"/>
              <w:textAlignment w:val="center"/>
              <w:rPr>
                <w:rFonts w:hint="eastAsia" w:ascii="Times New Roman" w:hAnsi="Times New Roman" w:eastAsia="仿宋_GB2312" w:cs="仿宋_GB2312"/>
                <w:b/>
                <w:bCs/>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lang w:eastAsia="zh-CN"/>
              </w:rPr>
              <w:t>《</w:t>
            </w:r>
            <w:r>
              <w:rPr>
                <w:rFonts w:hint="eastAsia" w:ascii="Times New Roman" w:hAnsi="Times New Roman" w:eastAsia="仿宋_GB2312" w:cs="仿宋_GB2312"/>
                <w:b/>
                <w:bCs/>
                <w:color w:val="000000"/>
                <w:kern w:val="0"/>
                <w:sz w:val="24"/>
                <w:szCs w:val="24"/>
                <w:highlight w:val="none"/>
              </w:rPr>
              <w:t>中华人民共和国监控化学品管理条例》</w:t>
            </w:r>
          </w:p>
          <w:p>
            <w:pPr>
              <w:widowControl/>
              <w:spacing w:after="0" w:line="360" w:lineRule="exact"/>
              <w:ind w:firstLine="482" w:firstLineChars="200"/>
              <w:jc w:val="left"/>
              <w:textAlignment w:val="center"/>
              <w:rPr>
                <w:rFonts w:hint="eastAsia" w:ascii="Times New Roman" w:hAnsi="Times New Roman" w:eastAsia="仿宋_GB2312" w:cs="仿宋_GB2312"/>
                <w:b w:val="0"/>
                <w:bCs w:val="0"/>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第十四条</w:t>
            </w:r>
            <w:r>
              <w:rPr>
                <w:rFonts w:hint="eastAsia" w:ascii="Times New Roman" w:hAnsi="Times New Roman" w:eastAsia="仿宋_GB2312" w:cs="仿宋_GB2312"/>
                <w:b w:val="0"/>
                <w:bCs w:val="0"/>
                <w:color w:val="000000"/>
                <w:kern w:val="0"/>
                <w:sz w:val="24"/>
                <w:szCs w:val="24"/>
                <w:highlight w:val="none"/>
              </w:rPr>
              <w:t xml:space="preserve">  国务院化学工业主管部门会同国务院对外经济贸易主管部门指定的单位(以下简称被指定单位)，可以从事第一类监控化学品和第二类、第三类监控化学品及其生产技术、专用设备的进出口业务。</w:t>
            </w:r>
          </w:p>
          <w:p>
            <w:pPr>
              <w:widowControl/>
              <w:spacing w:after="0" w:line="360" w:lineRule="exact"/>
              <w:ind w:firstLine="480" w:firstLineChars="200"/>
              <w:jc w:val="left"/>
              <w:textAlignment w:val="center"/>
              <w:rPr>
                <w:rFonts w:hint="eastAsia" w:ascii="Times New Roman" w:hAnsi="Times New Roman" w:eastAsia="仿宋_GB2312" w:cs="仿宋_GB2312"/>
                <w:b/>
                <w:bCs/>
                <w:color w:val="000000"/>
                <w:kern w:val="0"/>
                <w:sz w:val="24"/>
                <w:szCs w:val="24"/>
                <w:highlight w:val="none"/>
              </w:rPr>
            </w:pPr>
            <w:r>
              <w:rPr>
                <w:rFonts w:hint="eastAsia" w:ascii="Times New Roman" w:hAnsi="Times New Roman" w:eastAsia="仿宋_GB2312" w:cs="仿宋_GB2312"/>
                <w:b w:val="0"/>
                <w:bCs w:val="0"/>
                <w:color w:val="000000"/>
                <w:kern w:val="0"/>
                <w:sz w:val="24"/>
                <w:szCs w:val="24"/>
                <w:highlight w:val="none"/>
              </w:rPr>
              <w:t>需要进口或者出口第一类监控化学品和第二类、第三类监控化学品及其生产技术、专用设备的，应当委托被指定单位代理进口或者出口。除被指定单位外，任何单位和个人均不得从事这类进出口业务。</w:t>
            </w:r>
          </w:p>
          <w:p>
            <w:pPr>
              <w:widowControl/>
              <w:spacing w:after="0" w:line="360" w:lineRule="exact"/>
              <w:ind w:firstLine="482" w:firstLineChars="200"/>
              <w:jc w:val="left"/>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第二十三条</w:t>
            </w:r>
            <w:r>
              <w:rPr>
                <w:rFonts w:hint="eastAsia" w:ascii="Times New Roman" w:hAnsi="Times New Roman" w:eastAsia="仿宋_GB2312" w:cs="仿宋_GB2312"/>
                <w:color w:val="000000"/>
                <w:kern w:val="0"/>
                <w:sz w:val="24"/>
                <w:szCs w:val="24"/>
                <w:highlight w:val="none"/>
              </w:rPr>
              <w:t xml:space="preserve"> 违反本条例规定，经营监控化学品的，由省、自治区、直辖市人民政府化学工业主管部门</w:t>
            </w:r>
            <w:r>
              <w:rPr>
                <w:rFonts w:hint="eastAsia" w:ascii="Times New Roman" w:hAnsi="Times New Roman" w:eastAsia="仿宋_GB2312" w:cs="仿宋_GB2312"/>
                <w:kern w:val="0"/>
                <w:sz w:val="24"/>
                <w:szCs w:val="24"/>
                <w:highlight w:val="none"/>
              </w:rPr>
              <w:t>没收其违法经营的监控化学品和违法所得，可以并处违法经营额1倍以上2倍以下的罚款。</w:t>
            </w:r>
            <w:r>
              <w:rPr>
                <w:rFonts w:hint="eastAsia" w:ascii="Times New Roman" w:hAnsi="Times New Roman" w:eastAsia="仿宋_GB2312" w:cs="仿宋_GB2312"/>
                <w:color w:val="000000"/>
                <w:kern w:val="0"/>
                <w:sz w:val="24"/>
                <w:szCs w:val="24"/>
                <w:highlight w:val="none"/>
              </w:rPr>
              <w:br w:type="textWrapping"/>
            </w:r>
            <w:r>
              <w:rPr>
                <w:rFonts w:hint="eastAsia" w:ascii="Times New Roman" w:hAnsi="Times New Roman" w:eastAsia="仿宋_GB2312" w:cs="仿宋_GB2312"/>
                <w:b/>
                <w:bCs/>
                <w:color w:val="000000"/>
                <w:spacing w:val="-11"/>
                <w:kern w:val="0"/>
                <w:sz w:val="24"/>
                <w:szCs w:val="24"/>
                <w:highlight w:val="none"/>
              </w:rPr>
              <w:t>《&lt;中华人民共和国监控化学品管理条例&gt;实施细则》</w:t>
            </w:r>
          </w:p>
          <w:p>
            <w:pPr>
              <w:widowControl/>
              <w:spacing w:after="0" w:line="360" w:lineRule="exact"/>
              <w:ind w:firstLine="482" w:firstLineChars="200"/>
              <w:jc w:val="left"/>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第二十九条</w:t>
            </w:r>
            <w:r>
              <w:rPr>
                <w:rFonts w:hint="eastAsia" w:ascii="Times New Roman" w:hAnsi="Times New Roman" w:eastAsia="仿宋_GB2312" w:cs="仿宋_GB2312"/>
                <w:color w:val="000000"/>
                <w:kern w:val="0"/>
                <w:sz w:val="24"/>
                <w:szCs w:val="24"/>
                <w:highlight w:val="none"/>
              </w:rPr>
              <w:t xml:space="preserve"> 国家对第一类监控化学品和第二类、第三类监控化学品及其生产技术和专用设备的进出口，实行许可制度。</w:t>
            </w:r>
          </w:p>
          <w:p>
            <w:pPr>
              <w:widowControl/>
              <w:spacing w:after="0" w:line="360" w:lineRule="exact"/>
              <w:ind w:firstLine="482" w:firstLineChars="200"/>
              <w:jc w:val="left"/>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b/>
                <w:bCs/>
                <w:color w:val="000000"/>
                <w:kern w:val="0"/>
                <w:sz w:val="24"/>
                <w:szCs w:val="24"/>
                <w:highlight w:val="none"/>
              </w:rPr>
              <w:t>第三十条</w:t>
            </w:r>
            <w:r>
              <w:rPr>
                <w:rFonts w:hint="eastAsia" w:ascii="Times New Roman" w:hAnsi="Times New Roman" w:eastAsia="仿宋_GB2312" w:cs="仿宋_GB2312"/>
                <w:b/>
                <w:bCs/>
                <w:color w:val="000000"/>
                <w:kern w:val="0"/>
                <w:sz w:val="24"/>
                <w:szCs w:val="24"/>
                <w:highlight w:val="none"/>
                <w:lang w:eastAsia="zh-CN"/>
              </w:rPr>
              <w:t>第一款</w:t>
            </w:r>
            <w:r>
              <w:rPr>
                <w:rFonts w:hint="eastAsia" w:ascii="Times New Roman" w:hAnsi="Times New Roman" w:eastAsia="仿宋_GB2312" w:cs="仿宋_GB2312"/>
                <w:color w:val="000000"/>
                <w:kern w:val="0"/>
                <w:sz w:val="24"/>
                <w:szCs w:val="24"/>
                <w:highlight w:val="none"/>
              </w:rPr>
              <w:t xml:space="preserve"> 第一类监控化学品和第二类、第三类监控化学品及其生产技术和专用设备的进出口业务，按《中华人民共和国监控化学品管理条例》规定由被指定单位经营。被指定单位应当向工业和信息化部提出进出口申请。</w:t>
            </w:r>
          </w:p>
          <w:p>
            <w:pPr>
              <w:widowControl/>
              <w:spacing w:after="0" w:line="360" w:lineRule="exact"/>
              <w:ind w:firstLine="480" w:firstLineChars="200"/>
              <w:jc w:val="left"/>
              <w:textAlignment w:val="center"/>
              <w:rPr>
                <w:rFonts w:ascii="Times New Roman" w:hAnsi="Times New Roman" w:eastAsia="仿宋_GB2312"/>
                <w:sz w:val="24"/>
                <w:szCs w:val="24"/>
                <w:highlight w:val="none"/>
              </w:rPr>
            </w:pP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eastAsia="zh-CN"/>
              </w:rPr>
              <w:t>重量</w:t>
            </w:r>
            <w:r>
              <w:rPr>
                <w:rFonts w:hint="eastAsia" w:ascii="Times New Roman" w:hAnsi="Times New Roman" w:eastAsia="仿宋_GB2312" w:cs="仿宋_GB2312"/>
                <w:color w:val="000000"/>
                <w:kern w:val="0"/>
                <w:sz w:val="24"/>
                <w:szCs w:val="24"/>
                <w:highlight w:val="none"/>
              </w:rPr>
              <w:t>阈值</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eastAsia="zh-CN"/>
              </w:rPr>
              <w:t>未按规定委托被指定单位进出口第二类、第三类监控化学品</w:t>
            </w:r>
            <w:r>
              <w:rPr>
                <w:rFonts w:hint="eastAsia" w:ascii="Times New Roman" w:hAnsi="Times New Roman" w:eastAsia="仿宋_GB2312" w:cs="仿宋_GB2312"/>
                <w:color w:val="000000"/>
                <w:kern w:val="0"/>
                <w:sz w:val="24"/>
                <w:szCs w:val="24"/>
                <w:highlight w:val="none"/>
              </w:rPr>
              <w:t>，数量未超过本裁量基准规定的阈值</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val="en-US" w:eastAsia="zh-CN"/>
              </w:rPr>
              <w:t>1</w:t>
            </w:r>
            <w:r>
              <w:rPr>
                <w:rFonts w:hint="eastAsia" w:eastAsia="仿宋_GB2312" w:cs="仿宋_GB2312"/>
                <w:color w:val="000000"/>
                <w:kern w:val="0"/>
                <w:sz w:val="24"/>
                <w:szCs w:val="24"/>
                <w:highlight w:val="none"/>
                <w:lang w:val="en-US" w:eastAsia="zh-CN"/>
              </w:rPr>
              <w:t>0</w:t>
            </w:r>
            <w:r>
              <w:rPr>
                <w:rFonts w:hint="eastAsia" w:ascii="Times New Roman" w:hAnsi="Times New Roman" w:eastAsia="仿宋_GB2312" w:cs="仿宋_GB2312"/>
                <w:color w:val="000000"/>
                <w:kern w:val="0"/>
                <w:sz w:val="24"/>
                <w:szCs w:val="24"/>
                <w:highlight w:val="none"/>
                <w:lang w:val="en-US" w:eastAsia="zh-CN"/>
              </w:rPr>
              <w:t>%</w:t>
            </w:r>
          </w:p>
        </w:tc>
        <w:tc>
          <w:tcPr>
            <w:tcW w:w="3895" w:type="dxa"/>
            <w:tcBorders>
              <w:top w:val="single" w:color="auto" w:sz="4" w:space="0"/>
              <w:left w:val="thinThickSmallGap" w:color="000000" w:sz="12" w:space="0"/>
              <w:bottom w:val="single" w:color="auto" w:sz="4" w:space="0"/>
              <w:right w:val="single" w:color="auto" w:sz="4" w:space="0"/>
            </w:tcBorders>
            <w:tcMar>
              <w:top w:w="57" w:type="dxa"/>
              <w:left w:w="57" w:type="dxa"/>
              <w:bottom w:w="57" w:type="dxa"/>
              <w:right w:w="57" w:type="dxa"/>
            </w:tcMar>
            <w:vAlign w:val="center"/>
          </w:tcPr>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符合《中华人民共和国行政处罚法》等法律、法规、规章规定的不予行政处罚情形的，依法不予行政处罚。</w:t>
            </w:r>
          </w:p>
        </w:tc>
      </w:tr>
      <w:tr>
        <w:tblPrEx>
          <w:tblCellMar>
            <w:top w:w="0" w:type="dxa"/>
            <w:left w:w="0" w:type="dxa"/>
            <w:bottom w:w="0" w:type="dxa"/>
            <w:right w:w="0" w:type="dxa"/>
          </w:tblCellMar>
        </w:tblPrEx>
        <w:trPr>
          <w:trHeight w:val="506"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lang w:eastAsia="zh-CN"/>
              </w:rPr>
              <w:t>未按规定委托被指定单位进出口第二类、第三类监控化学品</w:t>
            </w:r>
            <w:r>
              <w:rPr>
                <w:rFonts w:hint="eastAsia" w:ascii="Times New Roman" w:hAnsi="Times New Roman" w:eastAsia="仿宋_GB2312" w:cs="仿宋_GB2312"/>
                <w:color w:val="000000"/>
                <w:kern w:val="0"/>
                <w:sz w:val="24"/>
                <w:szCs w:val="24"/>
                <w:highlight w:val="none"/>
              </w:rPr>
              <w:t>，数量超过本裁量基准规定的阈值</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eastAsia="仿宋_GB2312" w:cs="仿宋_GB2312"/>
                <w:color w:val="000000"/>
                <w:kern w:val="0"/>
                <w:sz w:val="24"/>
                <w:szCs w:val="24"/>
                <w:highlight w:val="none"/>
                <w:lang w:val="en-US" w:eastAsia="zh-CN"/>
              </w:rPr>
              <w:t>50</w:t>
            </w:r>
            <w:r>
              <w:rPr>
                <w:rFonts w:hint="eastAsia" w:ascii="Times New Roman" w:hAnsi="Times New Roman" w:eastAsia="仿宋_GB2312" w:cs="仿宋_GB2312"/>
                <w:color w:val="000000"/>
                <w:kern w:val="0"/>
                <w:sz w:val="24"/>
                <w:szCs w:val="24"/>
                <w:highlight w:val="none"/>
              </w:rPr>
              <w:t>％</w:t>
            </w:r>
          </w:p>
        </w:tc>
        <w:tc>
          <w:tcPr>
            <w:tcW w:w="3895" w:type="dxa"/>
            <w:vMerge w:val="restart"/>
            <w:tcBorders>
              <w:top w:val="single" w:color="auto" w:sz="4" w:space="0"/>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裁量总分值不足</w:t>
            </w:r>
            <w:r>
              <w:rPr>
                <w:rFonts w:hint="eastAsia" w:ascii="Times New Roman" w:hAnsi="Times New Roman" w:eastAsia="仿宋_GB2312" w:cs="仿宋_GB2312"/>
                <w:color w:val="000000"/>
                <w:kern w:val="0"/>
                <w:sz w:val="24"/>
                <w:szCs w:val="24"/>
                <w:highlight w:val="none"/>
                <w:lang w:val="en-US" w:eastAsia="zh-CN"/>
              </w:rPr>
              <w:t>20</w:t>
            </w:r>
            <w:r>
              <w:rPr>
                <w:rFonts w:hint="eastAsia" w:ascii="Times New Roman" w:hAnsi="Times New Roman" w:eastAsia="仿宋_GB2312" w:cs="仿宋_GB2312"/>
                <w:color w:val="000000"/>
                <w:kern w:val="0"/>
                <w:sz w:val="24"/>
                <w:szCs w:val="24"/>
                <w:highlight w:val="none"/>
              </w:rPr>
              <w:t>％的，没收违法经营的监控化学品和违法所得。</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2</w:t>
            </w:r>
            <w:r>
              <w:rPr>
                <w:rFonts w:hint="eastAsia" w:ascii="Times New Roman" w:hAnsi="Times New Roman" w:eastAsia="仿宋_GB2312" w:cs="仿宋_GB2312"/>
                <w:color w:val="000000"/>
                <w:kern w:val="0"/>
                <w:sz w:val="24"/>
                <w:szCs w:val="24"/>
                <w:highlight w:val="none"/>
              </w:rPr>
              <w:t>0％以上不足</w:t>
            </w:r>
            <w:r>
              <w:rPr>
                <w:rFonts w:hint="eastAsia" w:ascii="Times New Roman" w:hAnsi="Times New Roman" w:eastAsia="仿宋_GB2312" w:cs="仿宋_GB2312"/>
                <w:color w:val="000000"/>
                <w:kern w:val="0"/>
                <w:sz w:val="24"/>
                <w:szCs w:val="24"/>
                <w:highlight w:val="none"/>
                <w:lang w:val="en-US" w:eastAsia="zh-CN"/>
              </w:rPr>
              <w:t>3</w:t>
            </w:r>
            <w:r>
              <w:rPr>
                <w:rFonts w:hint="eastAsia" w:ascii="Times New Roman" w:hAnsi="Times New Roman" w:eastAsia="仿宋_GB2312" w:cs="仿宋_GB2312"/>
                <w:color w:val="000000"/>
                <w:kern w:val="0"/>
                <w:sz w:val="24"/>
                <w:szCs w:val="24"/>
                <w:highlight w:val="none"/>
              </w:rPr>
              <w:t>0％的，没收违法经营的监控化学品和违法所得，并处违法经营额1倍的罚款。</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3</w:t>
            </w:r>
            <w:r>
              <w:rPr>
                <w:rFonts w:hint="eastAsia" w:ascii="Times New Roman" w:hAnsi="Times New Roman" w:eastAsia="仿宋_GB2312" w:cs="仿宋_GB2312"/>
                <w:color w:val="000000"/>
                <w:kern w:val="0"/>
                <w:sz w:val="24"/>
                <w:szCs w:val="24"/>
                <w:highlight w:val="none"/>
              </w:rPr>
              <w:t>0％以上不足</w:t>
            </w: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0％的，没收违法经营的监控化学品和违法所得，并处违法经营额1.3倍的罚款。</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0％以上不足</w:t>
            </w:r>
            <w:r>
              <w:rPr>
                <w:rFonts w:hint="eastAsia" w:ascii="Times New Roman" w:hAnsi="Times New Roman" w:eastAsia="仿宋_GB2312" w:cs="仿宋_GB2312"/>
                <w:color w:val="000000"/>
                <w:kern w:val="0"/>
                <w:sz w:val="24"/>
                <w:szCs w:val="24"/>
                <w:highlight w:val="none"/>
                <w:lang w:val="en-US" w:eastAsia="zh-CN"/>
              </w:rPr>
              <w:t>7</w:t>
            </w:r>
            <w:r>
              <w:rPr>
                <w:rFonts w:hint="eastAsia" w:ascii="Times New Roman" w:hAnsi="Times New Roman" w:eastAsia="仿宋_GB2312" w:cs="仿宋_GB2312"/>
                <w:color w:val="000000"/>
                <w:kern w:val="0"/>
                <w:sz w:val="24"/>
                <w:szCs w:val="24"/>
                <w:highlight w:val="none"/>
              </w:rPr>
              <w:t>0％的，没收违法经营的监控化学品和违法所得，并处违法经营额1.</w:t>
            </w: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倍的罚款。</w:t>
            </w:r>
          </w:p>
          <w:p>
            <w:pPr>
              <w:widowControl/>
              <w:spacing w:line="360" w:lineRule="exact"/>
              <w:ind w:firstLine="480" w:firstLineChars="200"/>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裁量总分值在</w:t>
            </w:r>
            <w:r>
              <w:rPr>
                <w:rFonts w:hint="eastAsia" w:ascii="Times New Roman" w:hAnsi="Times New Roman" w:eastAsia="仿宋_GB2312" w:cs="仿宋_GB2312"/>
                <w:color w:val="000000"/>
                <w:kern w:val="0"/>
                <w:sz w:val="24"/>
                <w:szCs w:val="24"/>
                <w:highlight w:val="none"/>
                <w:lang w:val="en-US" w:eastAsia="zh-CN"/>
              </w:rPr>
              <w:t>7</w:t>
            </w:r>
            <w:r>
              <w:rPr>
                <w:rFonts w:hint="eastAsia" w:ascii="Times New Roman" w:hAnsi="Times New Roman" w:eastAsia="仿宋_GB2312" w:cs="仿宋_GB2312"/>
                <w:color w:val="000000"/>
                <w:kern w:val="0"/>
                <w:sz w:val="24"/>
                <w:szCs w:val="24"/>
                <w:highlight w:val="none"/>
              </w:rPr>
              <w:t>0％以上不足100％的，没收违法经营的监控化学品和违法所得，并处违法经营额1.9倍的罚款。</w:t>
            </w:r>
          </w:p>
          <w:p>
            <w:pPr>
              <w:widowControl/>
              <w:spacing w:line="360" w:lineRule="exact"/>
              <w:ind w:firstLine="480" w:firstLineChars="200"/>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rPr>
              <w:t>裁量总分值为100％的，没收违法经营的监控化学品和违法所得，并处违法经营额2倍的罚款。</w:t>
            </w: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违法行为持续时间</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不足1年</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val="en-US" w:eastAsia="zh-CN"/>
              </w:rPr>
              <w:t>3</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rPr>
              <w:t>1年以上，不足2年</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r>
      <w:tr>
        <w:tblPrEx>
          <w:tblCellMar>
            <w:top w:w="0" w:type="dxa"/>
            <w:left w:w="0" w:type="dxa"/>
            <w:bottom w:w="0" w:type="dxa"/>
            <w:right w:w="0" w:type="dxa"/>
          </w:tblCellMar>
        </w:tblPrEx>
        <w:trPr>
          <w:trHeight w:val="621"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rPr>
              <w:t>2年以上</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eastAsia="仿宋_GB2312" w:cs="仿宋_GB2312"/>
                <w:color w:val="000000"/>
                <w:kern w:val="0"/>
                <w:sz w:val="24"/>
                <w:szCs w:val="24"/>
                <w:highlight w:val="none"/>
                <w:lang w:val="en-US" w:eastAsia="zh-CN"/>
              </w:rPr>
              <w:t>7</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739"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配合检查、调查情况</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eastAsia="zh-CN"/>
              </w:rPr>
              <w:t>如实提供</w:t>
            </w:r>
            <w:r>
              <w:rPr>
                <w:rFonts w:hint="eastAsia" w:ascii="Times New Roman" w:hAnsi="Times New Roman" w:eastAsia="仿宋_GB2312" w:cs="仿宋_GB2312"/>
                <w:color w:val="000000"/>
                <w:kern w:val="0"/>
                <w:sz w:val="24"/>
                <w:szCs w:val="24"/>
                <w:highlight w:val="none"/>
              </w:rPr>
              <w:t>完整的购买、储存、销售等原始记录和统计台账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0％</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left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eastAsia="仿宋_GB2312" w:cs="仿宋_GB2312"/>
                <w:color w:val="000000"/>
                <w:kern w:val="0"/>
                <w:sz w:val="24"/>
                <w:szCs w:val="24"/>
                <w:highlight w:val="none"/>
                <w:lang w:eastAsia="zh-CN"/>
              </w:rPr>
              <w:t>仅</w:t>
            </w:r>
            <w:r>
              <w:rPr>
                <w:rFonts w:hint="eastAsia" w:ascii="Times New Roman" w:hAnsi="Times New Roman" w:eastAsia="仿宋_GB2312" w:cs="仿宋_GB2312"/>
                <w:color w:val="000000"/>
                <w:kern w:val="0"/>
                <w:sz w:val="24"/>
                <w:szCs w:val="24"/>
                <w:highlight w:val="none"/>
                <w:lang w:eastAsia="zh-CN"/>
              </w:rPr>
              <w:t>提供</w:t>
            </w:r>
            <w:r>
              <w:rPr>
                <w:rFonts w:hint="eastAsia" w:ascii="Times New Roman" w:hAnsi="Times New Roman" w:eastAsia="仿宋_GB2312" w:cs="仿宋_GB2312"/>
                <w:color w:val="000000"/>
                <w:kern w:val="0"/>
                <w:sz w:val="24"/>
                <w:szCs w:val="24"/>
                <w:highlight w:val="none"/>
              </w:rPr>
              <w:t>部分购买、储存、销售等原始记录和统计台账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lang w:val="en-US" w:eastAsia="zh-CN"/>
              </w:rPr>
              <w:t>10</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rPr>
              <w:t>无法提供</w:t>
            </w:r>
            <w:r>
              <w:rPr>
                <w:rFonts w:hint="eastAsia" w:ascii="Times New Roman" w:hAnsi="Times New Roman" w:eastAsia="仿宋_GB2312" w:cs="仿宋_GB2312"/>
                <w:color w:val="000000"/>
                <w:kern w:val="0"/>
                <w:sz w:val="24"/>
                <w:szCs w:val="24"/>
                <w:highlight w:val="none"/>
                <w:lang w:eastAsia="zh-CN"/>
              </w:rPr>
              <w:t>或拒不提供真实的</w:t>
            </w:r>
            <w:r>
              <w:rPr>
                <w:rFonts w:hint="eastAsia" w:ascii="Times New Roman" w:hAnsi="Times New Roman" w:eastAsia="仿宋_GB2312" w:cs="仿宋_GB2312"/>
                <w:color w:val="000000"/>
                <w:kern w:val="0"/>
                <w:sz w:val="24"/>
                <w:szCs w:val="24"/>
                <w:highlight w:val="none"/>
              </w:rPr>
              <w:t>购买、储存、销售等原始记录和统计台账</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lang w:val="en-US" w:eastAsia="zh-CN"/>
              </w:rPr>
              <w:t>1</w:t>
            </w:r>
            <w:r>
              <w:rPr>
                <w:rFonts w:hint="eastAsia" w:eastAsia="仿宋_GB2312" w:cs="仿宋_GB2312"/>
                <w:color w:val="000000"/>
                <w:kern w:val="0"/>
                <w:sz w:val="24"/>
                <w:szCs w:val="24"/>
                <w:highlight w:val="none"/>
                <w:lang w:val="en-US" w:eastAsia="zh-CN"/>
              </w:rPr>
              <w:t>5</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739" w:type="dxa"/>
            <w:vMerge w:val="restart"/>
            <w:tcBorders>
              <w:top w:val="single" w:color="000000" w:sz="4" w:space="0"/>
              <w:left w:val="single" w:color="000000" w:sz="4" w:space="0"/>
              <w:bottom w:val="nil"/>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违法行为发生次数</w:t>
            </w: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1次</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0％</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top w:val="nil"/>
              <w:left w:val="single" w:color="000000" w:sz="4" w:space="0"/>
              <w:bottom w:val="nil"/>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rPr>
              <w:t>2次</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eastAsia="仿宋_GB2312" w:cs="仿宋_GB2312"/>
                <w:color w:val="000000"/>
                <w:kern w:val="0"/>
                <w:sz w:val="24"/>
                <w:szCs w:val="24"/>
                <w:highlight w:val="none"/>
                <w:lang w:val="en-US" w:eastAsia="zh-CN"/>
              </w:rPr>
              <w:t>25</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r>
      <w:tr>
        <w:tblPrEx>
          <w:tblCellMar>
            <w:top w:w="0" w:type="dxa"/>
            <w:left w:w="0" w:type="dxa"/>
            <w:bottom w:w="0" w:type="dxa"/>
            <w:right w:w="0" w:type="dxa"/>
          </w:tblCellMar>
        </w:tblPrEx>
        <w:trPr>
          <w:trHeight w:val="0"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c>
          <w:tcPr>
            <w:tcW w:w="739" w:type="dxa"/>
            <w:vMerge w:val="continue"/>
            <w:tcBorders>
              <w:top w:val="nil"/>
              <w:left w:val="single" w:color="000000" w:sz="4" w:space="0"/>
              <w:bottom w:val="nil"/>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p>
        </w:tc>
        <w:tc>
          <w:tcPr>
            <w:tcW w:w="347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ascii="Times New Roman" w:hAnsi="Times New Roman" w:eastAsia="仿宋_GB2312" w:cs="仿宋_GB2312"/>
                <w:color w:val="000000"/>
                <w:kern w:val="0"/>
                <w:sz w:val="24"/>
                <w:szCs w:val="24"/>
                <w:highlight w:val="none"/>
              </w:rPr>
              <w:t>3次以上</w:t>
            </w:r>
          </w:p>
        </w:tc>
        <w:tc>
          <w:tcPr>
            <w:tcW w:w="1061" w:type="dxa"/>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after="0" w:line="360" w:lineRule="exact"/>
              <w:jc w:val="center"/>
              <w:textAlignment w:val="center"/>
              <w:rPr>
                <w:rFonts w:ascii="Times New Roman" w:hAnsi="Times New Roman" w:eastAsia="仿宋_GB2312"/>
                <w:sz w:val="24"/>
                <w:szCs w:val="24"/>
              </w:rPr>
            </w:pPr>
            <w:r>
              <w:rPr>
                <w:rFonts w:hint="eastAsia" w:eastAsia="仿宋_GB2312" w:cs="仿宋_GB2312"/>
                <w:color w:val="000000"/>
                <w:kern w:val="0"/>
                <w:sz w:val="24"/>
                <w:szCs w:val="24"/>
                <w:highlight w:val="none"/>
                <w:lang w:val="en-US" w:eastAsia="zh-CN"/>
              </w:rPr>
              <w:t>28</w:t>
            </w:r>
            <w:r>
              <w:rPr>
                <w:rFonts w:hint="eastAsia" w:ascii="Times New Roman" w:hAnsi="Times New Roman" w:eastAsia="仿宋_GB2312" w:cs="仿宋_GB2312"/>
                <w:color w:val="000000"/>
                <w:kern w:val="0"/>
                <w:sz w:val="24"/>
                <w:szCs w:val="24"/>
                <w:highlight w:val="none"/>
              </w:rPr>
              <w:t>％</w:t>
            </w:r>
          </w:p>
        </w:tc>
        <w:tc>
          <w:tcPr>
            <w:tcW w:w="3895" w:type="dxa"/>
            <w:vMerge w:val="continue"/>
            <w:tcBorders>
              <w:left w:val="thinThickSmallGap" w:color="000000" w:sz="12" w:space="0"/>
              <w:bottom w:val="single" w:color="auto" w:sz="4"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ascii="Times New Roman" w:hAnsi="Times New Roman" w:eastAsia="仿宋_GB2312"/>
                <w:sz w:val="24"/>
                <w:szCs w:val="24"/>
              </w:rPr>
            </w:pPr>
          </w:p>
        </w:tc>
      </w:tr>
      <w:tr>
        <w:tblPrEx>
          <w:tblCellMar>
            <w:top w:w="0" w:type="dxa"/>
            <w:left w:w="0" w:type="dxa"/>
            <w:bottom w:w="0" w:type="dxa"/>
            <w:right w:w="0" w:type="dxa"/>
          </w:tblCellMar>
        </w:tblPrEx>
        <w:trPr>
          <w:trHeight w:val="888" w:hRule="atLeast"/>
          <w:jc w:val="center"/>
        </w:trPr>
        <w:tc>
          <w:tcPr>
            <w:tcW w:w="35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4347" w:type="dxa"/>
            <w:vMerge w:val="continue"/>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p>
        </w:tc>
        <w:tc>
          <w:tcPr>
            <w:tcW w:w="5275" w:type="dxa"/>
            <w:gridSpan w:val="3"/>
            <w:tcBorders>
              <w:top w:val="single" w:color="000000" w:sz="4" w:space="0"/>
              <w:left w:val="single" w:color="000000" w:sz="4" w:space="0"/>
              <w:bottom w:val="single" w:color="000000" w:sz="4" w:space="0"/>
              <w:right w:val="thinThickSmallGap" w:color="000000" w:sz="12"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lang w:eastAsia="zh-CN"/>
              </w:rPr>
            </w:pPr>
            <w:r>
              <w:rPr>
                <w:rFonts w:hint="eastAsia" w:ascii="Times New Roman" w:hAnsi="Times New Roman" w:eastAsia="仿宋_GB2312" w:cs="仿宋_GB2312"/>
                <w:color w:val="000000"/>
                <w:kern w:val="0"/>
                <w:sz w:val="24"/>
                <w:szCs w:val="24"/>
                <w:highlight w:val="none"/>
                <w:lang w:eastAsia="zh-CN"/>
              </w:rPr>
              <w:t>未按规定委托被指定单位进出口</w:t>
            </w:r>
          </w:p>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lang w:eastAsia="zh-CN"/>
              </w:rPr>
              <w:t>第一类监控化学品</w:t>
            </w:r>
          </w:p>
        </w:tc>
        <w:tc>
          <w:tcPr>
            <w:tcW w:w="3895" w:type="dxa"/>
            <w:tcBorders>
              <w:top w:val="single" w:color="auto" w:sz="4" w:space="0"/>
              <w:left w:val="thinThickSmallGap" w:color="000000" w:sz="12" w:space="0"/>
              <w:bottom w:val="single" w:color="auto" w:sz="4" w:space="0"/>
              <w:right w:val="single" w:color="auto" w:sz="4" w:space="0"/>
            </w:tcBorders>
            <w:tcMar>
              <w:top w:w="57" w:type="dxa"/>
              <w:left w:w="57" w:type="dxa"/>
              <w:bottom w:w="57" w:type="dxa"/>
              <w:right w:w="57" w:type="dxa"/>
            </w:tcMar>
            <w:vAlign w:val="center"/>
          </w:tcPr>
          <w:p>
            <w:pPr>
              <w:widowControl/>
              <w:spacing w:line="360" w:lineRule="exact"/>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没收违法经营的监控化学品和违法所得，并处违法经营额2倍的罚款。</w:t>
            </w:r>
          </w:p>
        </w:tc>
      </w:tr>
    </w:tbl>
    <w:p>
      <w:pPr>
        <w:widowControl/>
        <w:spacing w:after="0" w:line="240" w:lineRule="auto"/>
        <w:ind w:firstLine="480" w:firstLineChars="200"/>
        <w:textAlignment w:val="center"/>
        <w:rPr>
          <w:rFonts w:hint="eastAsia" w:ascii="仿宋_GB2312" w:hAnsi="仿宋_GB2312" w:eastAsia="仿宋_GB2312" w:cs="仿宋_GB2312"/>
          <w:color w:val="000000"/>
          <w:kern w:val="0"/>
          <w:sz w:val="24"/>
          <w:szCs w:val="24"/>
          <w:highlight w:val="none"/>
        </w:rPr>
      </w:pPr>
    </w:p>
    <w:p>
      <w:pPr>
        <w:widowControl/>
        <w:spacing w:after="0" w:line="240" w:lineRule="auto"/>
        <w:ind w:firstLine="480" w:firstLineChars="200"/>
        <w:textAlignment w:val="center"/>
        <w:rPr>
          <w:rFonts w:hint="eastAsia" w:ascii="仿宋_GB2312" w:hAnsi="仿宋_GB2312" w:eastAsia="仿宋_GB2312" w:cs="仿宋_GB2312"/>
          <w:color w:val="000000"/>
          <w:kern w:val="0"/>
          <w:sz w:val="24"/>
          <w:szCs w:val="24"/>
          <w:highlight w:val="none"/>
        </w:rPr>
      </w:pPr>
    </w:p>
    <w:p>
      <w:pPr>
        <w:widowControl/>
        <w:spacing w:after="0" w:line="240" w:lineRule="auto"/>
        <w:ind w:firstLine="480" w:firstLineChars="200"/>
        <w:textAlignment w:val="center"/>
        <w:rPr>
          <w:rFonts w:hint="eastAsia" w:ascii="仿宋_GB2312" w:hAnsi="仿宋_GB2312" w:eastAsia="仿宋_GB2312" w:cs="仿宋_GB2312"/>
          <w:color w:val="000000"/>
          <w:kern w:val="0"/>
          <w:sz w:val="24"/>
          <w:szCs w:val="24"/>
          <w:highlight w:val="none"/>
        </w:rPr>
      </w:pPr>
    </w:p>
    <w:p>
      <w:pPr>
        <w:pStyle w:val="2"/>
        <w:rPr>
          <w:rFonts w:hint="eastAsia"/>
        </w:rPr>
      </w:pPr>
    </w:p>
    <w:p>
      <w:pPr>
        <w:widowControl/>
        <w:spacing w:after="0" w:line="240" w:lineRule="auto"/>
        <w:ind w:firstLine="480" w:firstLineChars="200"/>
        <w:textAlignment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备注：</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exact"/>
        <w:ind w:firstLine="480" w:firstLineChars="200"/>
        <w:textAlignment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lang w:val="en-US" w:eastAsia="zh-CN" w:bidi="ar-SA"/>
        </w:rPr>
        <w:t>根据《国家禁化武办关于统一监控化学品行政处罚裁量基准的通知》（禁化武办发〔2024〕301号），依据《中华人民共和国监控化学品管理条例》第二条、第十三条、第十四条至第十八条，经营行为包括监控化学品国内经营行为和进出口行为。</w:t>
      </w:r>
      <w:r>
        <w:rPr>
          <w:rFonts w:hint="eastAsia" w:ascii="仿宋_GB2312" w:hAnsi="仿宋_GB2312" w:eastAsia="仿宋_GB2312" w:cs="仿宋_GB2312"/>
          <w:color w:val="000000"/>
          <w:kern w:val="0"/>
          <w:sz w:val="24"/>
          <w:szCs w:val="24"/>
          <w:lang w:val="en-US" w:eastAsia="zh-CN"/>
        </w:rPr>
        <w:t>违法进出口监控化学品的行为，</w:t>
      </w:r>
      <w:r>
        <w:rPr>
          <w:rFonts w:hint="eastAsia" w:ascii="仿宋_GB2312" w:hAnsi="仿宋_GB2312" w:eastAsia="仿宋_GB2312" w:cs="仿宋_GB2312"/>
          <w:color w:val="000000"/>
          <w:kern w:val="0"/>
          <w:sz w:val="24"/>
          <w:szCs w:val="24"/>
          <w:lang w:val="en-US" w:eastAsia="zh-CN" w:bidi="ar-SA"/>
        </w:rPr>
        <w:t>依据《中华人民共和国监控化学品管理条例》第二十三条进行处罚。</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exact"/>
        <w:ind w:firstLine="480" w:firstLineChars="200"/>
        <w:textAlignment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2.</w:t>
      </w:r>
      <w:r>
        <w:rPr>
          <w:rFonts w:ascii="仿宋_GB2312" w:hAnsi="仿宋_GB2312" w:eastAsia="仿宋_GB2312" w:cs="仿宋_GB2312"/>
          <w:color w:val="000000"/>
          <w:kern w:val="0"/>
          <w:sz w:val="24"/>
          <w:szCs w:val="24"/>
          <w:highlight w:val="none"/>
          <w:lang w:bidi="ar"/>
        </w:rPr>
        <w:t>在最终确定罚款金额时，应遵循有利于当事人的原则，将计算结果取整至人民币整数元，即采用去尾法舍去小数部分。</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exact"/>
        <w:ind w:firstLine="480" w:firstLineChars="200"/>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val="en-US" w:eastAsia="zh-CN" w:bidi="ar"/>
        </w:rPr>
        <w:t>3</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eastAsia="zh-CN" w:bidi="ar"/>
        </w:rPr>
        <w:t>“判定标准”及“处理、处罚标准”中所称的“以上”“未超过”包括本数；所称的“不足”“超过”</w:t>
      </w:r>
      <w:bookmarkStart w:id="0" w:name="_GoBack"/>
      <w:bookmarkEnd w:id="0"/>
      <w:r>
        <w:rPr>
          <w:rFonts w:hint="eastAsia" w:ascii="仿宋_GB2312" w:hAnsi="仿宋_GB2312" w:eastAsia="仿宋_GB2312" w:cs="仿宋_GB2312"/>
          <w:color w:val="000000"/>
          <w:kern w:val="0"/>
          <w:sz w:val="24"/>
          <w:szCs w:val="24"/>
          <w:highlight w:val="none"/>
          <w:lang w:eastAsia="zh-CN" w:bidi="ar"/>
        </w:rPr>
        <w:t>不包括本数。</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exact"/>
        <w:ind w:firstLine="480" w:firstLineChars="200"/>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val="en-US" w:eastAsia="zh-CN" w:bidi="ar"/>
        </w:rPr>
        <w:t>4.</w:t>
      </w:r>
      <w:r>
        <w:rPr>
          <w:rFonts w:hint="eastAsia" w:ascii="仿宋_GB2312" w:hAnsi="仿宋_GB2312" w:eastAsia="仿宋_GB2312" w:cs="仿宋_GB2312"/>
          <w:color w:val="000000"/>
          <w:kern w:val="0"/>
          <w:sz w:val="24"/>
          <w:szCs w:val="24"/>
          <w:highlight w:val="none"/>
          <w:lang w:bidi="ar"/>
        </w:rPr>
        <w:t>国家和本市对具体违法行为的行政处罚裁量</w:t>
      </w:r>
      <w:r>
        <w:rPr>
          <w:rFonts w:hint="eastAsia" w:ascii="仿宋_GB2312" w:hAnsi="仿宋_GB2312" w:eastAsia="仿宋_GB2312" w:cs="仿宋_GB2312"/>
          <w:color w:val="000000"/>
          <w:kern w:val="0"/>
          <w:sz w:val="24"/>
          <w:szCs w:val="24"/>
          <w:highlight w:val="none"/>
          <w:lang w:eastAsia="zh-CN" w:bidi="ar"/>
        </w:rPr>
        <w:t>权</w:t>
      </w:r>
      <w:r>
        <w:rPr>
          <w:rFonts w:hint="eastAsia" w:ascii="仿宋_GB2312" w:hAnsi="仿宋_GB2312" w:eastAsia="仿宋_GB2312" w:cs="仿宋_GB2312"/>
          <w:color w:val="000000"/>
          <w:kern w:val="0"/>
          <w:sz w:val="24"/>
          <w:szCs w:val="24"/>
          <w:highlight w:val="none"/>
          <w:lang w:bidi="ar"/>
        </w:rPr>
        <w:t>基准有规定的，从其规定。</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textAlignment w:val="center"/>
        <w:rPr>
          <w:rFonts w:hint="eastAsia" w:ascii="仿宋_GB2312" w:hAnsi="仿宋_GB2312" w:eastAsia="仿宋_GB2312" w:cs="仿宋_GB2312"/>
          <w:color w:val="000000"/>
          <w:kern w:val="0"/>
          <w:sz w:val="24"/>
          <w:szCs w:val="24"/>
          <w:highlight w:val="none"/>
        </w:rPr>
      </w:pPr>
    </w:p>
    <w:p>
      <w:pPr>
        <w:widowControl/>
        <w:spacing w:after="0" w:line="240" w:lineRule="auto"/>
        <w:ind w:firstLine="0" w:firstLineChars="0"/>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0"/>
        <w:rPr>
          <w:b/>
          <w:bCs/>
          <w:sz w:val="36"/>
          <w:szCs w:val="36"/>
          <w:highlight w:val="none"/>
        </w:rPr>
      </w:pPr>
      <w:r>
        <w:rPr>
          <w:rFonts w:hint="eastAsia" w:ascii="华文中宋" w:hAnsi="华文中宋" w:eastAsia="华文中宋" w:cs="方正小标宋简体"/>
          <w:bCs/>
          <w:sz w:val="36"/>
          <w:szCs w:val="36"/>
          <w:highlight w:val="none"/>
        </w:rPr>
        <w:t>关于监控化学品活动的有关阈值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960" w:type="dxa"/>
            <w:vAlign w:val="center"/>
          </w:tcPr>
          <w:p>
            <w:pPr>
              <w:spacing w:line="320" w:lineRule="exact"/>
              <w:jc w:val="center"/>
              <w:rPr>
                <w:rFonts w:hint="eastAsia" w:ascii="仿宋_GB2312" w:hAnsi="仿宋_GB2312" w:eastAsia="仿宋_GB2312" w:cs="仿宋_GB2312"/>
                <w:b/>
                <w:bCs/>
                <w:kern w:val="0"/>
                <w:sz w:val="24"/>
                <w:szCs w:val="24"/>
                <w:highlight w:val="none"/>
                <w:lang w:eastAsia="zh-CN"/>
              </w:rPr>
            </w:pPr>
            <w:r>
              <w:rPr>
                <w:rFonts w:hint="eastAsia" w:ascii="仿宋_GB2312" w:hAnsi="仿宋_GB2312" w:eastAsia="仿宋_GB2312" w:cs="仿宋_GB2312"/>
                <w:b/>
                <w:bCs/>
                <w:kern w:val="0"/>
                <w:sz w:val="24"/>
                <w:szCs w:val="24"/>
                <w:highlight w:val="none"/>
              </w:rPr>
              <w:t>监控化学品</w:t>
            </w:r>
            <w:r>
              <w:rPr>
                <w:rFonts w:hint="eastAsia" w:ascii="仿宋_GB2312" w:hAnsi="仿宋_GB2312" w:eastAsia="仿宋_GB2312" w:cs="仿宋_GB2312"/>
                <w:b/>
                <w:bCs/>
                <w:kern w:val="0"/>
                <w:sz w:val="24"/>
                <w:szCs w:val="24"/>
                <w:highlight w:val="none"/>
                <w:lang w:eastAsia="zh-CN"/>
              </w:rPr>
              <w:t>活动</w:t>
            </w:r>
          </w:p>
        </w:tc>
        <w:tc>
          <w:tcPr>
            <w:tcW w:w="7812" w:type="dxa"/>
            <w:vAlign w:val="center"/>
          </w:tcPr>
          <w:p>
            <w:pPr>
              <w:spacing w:line="32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重量阈值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2960" w:type="dxa"/>
            <w:vAlign w:val="center"/>
          </w:tcPr>
          <w:p>
            <w:pPr>
              <w:spacing w:line="320" w:lineRule="exact"/>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经营</w:t>
            </w:r>
            <w:r>
              <w:rPr>
                <w:rFonts w:hint="eastAsia" w:ascii="仿宋_GB2312" w:hAnsi="仿宋_GB2312" w:eastAsia="仿宋_GB2312" w:cs="仿宋_GB2312"/>
                <w:kern w:val="0"/>
                <w:sz w:val="24"/>
                <w:szCs w:val="24"/>
                <w:highlight w:val="none"/>
              </w:rPr>
              <w:t>第二类监控化学品</w:t>
            </w:r>
            <w:r>
              <w:rPr>
                <w:rFonts w:hint="eastAsia" w:ascii="仿宋_GB2312" w:hAnsi="仿宋_GB2312" w:eastAsia="仿宋_GB2312" w:cs="仿宋_GB2312"/>
                <w:kern w:val="0"/>
                <w:sz w:val="24"/>
                <w:szCs w:val="24"/>
                <w:highlight w:val="none"/>
                <w:lang w:eastAsia="zh-CN"/>
              </w:rPr>
              <w:t>、进出口第二类监控化学品</w:t>
            </w:r>
          </w:p>
        </w:tc>
        <w:tc>
          <w:tcPr>
            <w:tcW w:w="7812" w:type="dxa"/>
            <w:vAlign w:val="center"/>
          </w:tcPr>
          <w:p>
            <w:pPr>
              <w:spacing w:line="3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A*化学品</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1千克</w:t>
            </w:r>
          </w:p>
          <w:p>
            <w:pPr>
              <w:spacing w:line="3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A化学品</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100千克</w:t>
            </w:r>
          </w:p>
          <w:p>
            <w:pPr>
              <w:spacing w:line="3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B化学品</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960" w:type="dxa"/>
            <w:vAlign w:val="center"/>
          </w:tcPr>
          <w:p>
            <w:pPr>
              <w:spacing w:line="3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进出口</w:t>
            </w:r>
            <w:r>
              <w:rPr>
                <w:rFonts w:hint="eastAsia" w:ascii="仿宋_GB2312" w:hAnsi="仿宋_GB2312" w:eastAsia="仿宋_GB2312" w:cs="仿宋_GB2312"/>
                <w:kern w:val="0"/>
                <w:sz w:val="24"/>
                <w:szCs w:val="24"/>
                <w:highlight w:val="none"/>
              </w:rPr>
              <w:t>第三类监控化学品</w:t>
            </w:r>
          </w:p>
        </w:tc>
        <w:tc>
          <w:tcPr>
            <w:tcW w:w="7812" w:type="dxa"/>
            <w:vAlign w:val="center"/>
          </w:tcPr>
          <w:p>
            <w:pPr>
              <w:spacing w:line="3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某一种化学品</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3吨</w:t>
            </w:r>
          </w:p>
        </w:tc>
      </w:tr>
    </w:tbl>
    <w:p>
      <w:pPr>
        <w:widowControl/>
        <w:spacing w:after="0" w:line="240" w:lineRule="auto"/>
        <w:ind w:firstLine="480" w:firstLineChars="200"/>
        <w:textAlignment w:val="center"/>
        <w:rPr>
          <w:rFonts w:hint="eastAsia" w:ascii="仿宋_GB2312" w:hAnsi="仿宋_GB2312" w:eastAsia="仿宋_GB2312" w:cs="仿宋_GB2312"/>
          <w:color w:val="000000"/>
          <w:kern w:val="0"/>
          <w:sz w:val="24"/>
          <w:szCs w:val="24"/>
          <w:highlight w:val="none"/>
        </w:rPr>
      </w:pPr>
    </w:p>
    <w:p>
      <w:pPr>
        <w:widowControl/>
        <w:spacing w:after="0" w:line="240" w:lineRule="auto"/>
        <w:textAlignment w:val="center"/>
        <w:rPr>
          <w:rFonts w:hint="eastAsia" w:ascii="仿宋_GB2312" w:hAnsi="仿宋_GB2312" w:eastAsia="仿宋_GB2312" w:cs="仿宋_GB2312"/>
          <w:color w:val="000000"/>
          <w:kern w:val="0"/>
          <w:sz w:val="24"/>
          <w:szCs w:val="24"/>
          <w:highlight w:val="none"/>
        </w:rPr>
      </w:pPr>
    </w:p>
    <w:sectPr>
      <w:headerReference r:id="rId5" w:type="default"/>
      <w:pgSz w:w="17575" w:h="11906" w:orient="landscape"/>
      <w:pgMar w:top="1803" w:right="1440" w:bottom="728" w:left="144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F91A4"/>
    <w:multiLevelType w:val="singleLevel"/>
    <w:tmpl w:val="940F91A4"/>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726C8E"/>
    <w:rsid w:val="00134A8F"/>
    <w:rsid w:val="002378CB"/>
    <w:rsid w:val="003E5A0A"/>
    <w:rsid w:val="00690C5E"/>
    <w:rsid w:val="00825A28"/>
    <w:rsid w:val="00A0399B"/>
    <w:rsid w:val="00BD4B44"/>
    <w:rsid w:val="00CD5F12"/>
    <w:rsid w:val="00E123D0"/>
    <w:rsid w:val="00ED1E2A"/>
    <w:rsid w:val="01DD2585"/>
    <w:rsid w:val="0AB73179"/>
    <w:rsid w:val="0AF9A07F"/>
    <w:rsid w:val="0F20326B"/>
    <w:rsid w:val="13FD65D9"/>
    <w:rsid w:val="1B436FDA"/>
    <w:rsid w:val="27B214CF"/>
    <w:rsid w:val="2AEE300F"/>
    <w:rsid w:val="2F726C8E"/>
    <w:rsid w:val="2FBD7F15"/>
    <w:rsid w:val="2FC3414B"/>
    <w:rsid w:val="32F40DDF"/>
    <w:rsid w:val="3753A123"/>
    <w:rsid w:val="39292CF8"/>
    <w:rsid w:val="3E06185A"/>
    <w:rsid w:val="3F9676BF"/>
    <w:rsid w:val="3F9F642D"/>
    <w:rsid w:val="404204A5"/>
    <w:rsid w:val="4C4D63B3"/>
    <w:rsid w:val="4D386F9E"/>
    <w:rsid w:val="4F0B2C79"/>
    <w:rsid w:val="52EE9B6A"/>
    <w:rsid w:val="53101DB0"/>
    <w:rsid w:val="558F1DF0"/>
    <w:rsid w:val="56FFFFAA"/>
    <w:rsid w:val="57803F94"/>
    <w:rsid w:val="57BAD625"/>
    <w:rsid w:val="59BDD391"/>
    <w:rsid w:val="5BFBCEB9"/>
    <w:rsid w:val="5D7A6AF2"/>
    <w:rsid w:val="5DF2B175"/>
    <w:rsid w:val="5EEFC16E"/>
    <w:rsid w:val="5FCEE528"/>
    <w:rsid w:val="5FDF0102"/>
    <w:rsid w:val="5FEF44D6"/>
    <w:rsid w:val="5FFB5A16"/>
    <w:rsid w:val="5FFB9A87"/>
    <w:rsid w:val="5FFD92FC"/>
    <w:rsid w:val="63FC1F35"/>
    <w:rsid w:val="669453A6"/>
    <w:rsid w:val="67DE42E4"/>
    <w:rsid w:val="69EC39B5"/>
    <w:rsid w:val="6BD858FE"/>
    <w:rsid w:val="6D9DB67B"/>
    <w:rsid w:val="6DFFB9F0"/>
    <w:rsid w:val="6F1F909B"/>
    <w:rsid w:val="6FEE8CCA"/>
    <w:rsid w:val="7072529F"/>
    <w:rsid w:val="718A3078"/>
    <w:rsid w:val="72B172DF"/>
    <w:rsid w:val="737E059E"/>
    <w:rsid w:val="73FFC578"/>
    <w:rsid w:val="75F8A35C"/>
    <w:rsid w:val="765F8D57"/>
    <w:rsid w:val="76DF3A66"/>
    <w:rsid w:val="76DF5E07"/>
    <w:rsid w:val="77B330C1"/>
    <w:rsid w:val="77D7E712"/>
    <w:rsid w:val="77FE3F28"/>
    <w:rsid w:val="796F389F"/>
    <w:rsid w:val="797FE6CB"/>
    <w:rsid w:val="7A513882"/>
    <w:rsid w:val="7ABEA85E"/>
    <w:rsid w:val="7BFBAB4E"/>
    <w:rsid w:val="7ECF48EF"/>
    <w:rsid w:val="7F7FAB43"/>
    <w:rsid w:val="7FB76A45"/>
    <w:rsid w:val="7FBBA166"/>
    <w:rsid w:val="7FF98F01"/>
    <w:rsid w:val="7FFF03B9"/>
    <w:rsid w:val="855DDBD9"/>
    <w:rsid w:val="8FF19AAD"/>
    <w:rsid w:val="94EAEAE7"/>
    <w:rsid w:val="97FA26A6"/>
    <w:rsid w:val="9EE6B3AB"/>
    <w:rsid w:val="9F4E6629"/>
    <w:rsid w:val="A5CC5D4A"/>
    <w:rsid w:val="AECEAFD6"/>
    <w:rsid w:val="B2DBD2CE"/>
    <w:rsid w:val="B7FF9B49"/>
    <w:rsid w:val="BCFF0585"/>
    <w:rsid w:val="BF3FEB80"/>
    <w:rsid w:val="CD5ED5B1"/>
    <w:rsid w:val="DD55ADE2"/>
    <w:rsid w:val="DE7D4F85"/>
    <w:rsid w:val="DE7F38FC"/>
    <w:rsid w:val="DEFB243F"/>
    <w:rsid w:val="DF6B2CD8"/>
    <w:rsid w:val="ECBFBEE7"/>
    <w:rsid w:val="EDFC4CE5"/>
    <w:rsid w:val="EF9FF1CE"/>
    <w:rsid w:val="EFFF74C2"/>
    <w:rsid w:val="F3F471A6"/>
    <w:rsid w:val="F7FD7C1B"/>
    <w:rsid w:val="F9BE40C7"/>
    <w:rsid w:val="FABB7654"/>
    <w:rsid w:val="FB277A3D"/>
    <w:rsid w:val="FBDB23CF"/>
    <w:rsid w:val="FBDF5018"/>
    <w:rsid w:val="FD37BC9F"/>
    <w:rsid w:val="FEBFA9F5"/>
    <w:rsid w:val="FEE7F616"/>
    <w:rsid w:val="FEF7317E"/>
    <w:rsid w:val="FF9BC2B8"/>
    <w:rsid w:val="FFBF396F"/>
    <w:rsid w:val="FFFB13B9"/>
    <w:rsid w:val="FFFDB3CB"/>
    <w:rsid w:val="FFFFA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体" w:cs="Times New Roman"/>
      <w:kern w:val="2"/>
      <w:sz w:val="32"/>
      <w:lang w:val="en-US" w:eastAsia="zh-CN" w:bidi="ar-SA"/>
    </w:rPr>
  </w:style>
  <w:style w:type="paragraph" w:styleId="4">
    <w:name w:val="heading 2"/>
    <w:basedOn w:val="1"/>
    <w:next w:val="1"/>
    <w:semiHidden/>
    <w:unhideWhenUsed/>
    <w:qFormat/>
    <w:uiPriority w:val="0"/>
    <w:pPr>
      <w:keepNext/>
      <w:keepLines/>
      <w:numPr>
        <w:ilvl w:val="0"/>
        <w:numId w:val="1"/>
      </w:numPr>
      <w:spacing w:before="260" w:after="260" w:line="413" w:lineRule="auto"/>
      <w:outlineLvl w:val="1"/>
    </w:pPr>
    <w:rPr>
      <w:rFonts w:ascii="Arial" w:hAnsi="Arial" w:eastAsia="黑体"/>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960"/>
    </w:pPr>
  </w:style>
  <w:style w:type="paragraph" w:styleId="3">
    <w:name w:val="Body Text Indent"/>
    <w:basedOn w:val="1"/>
    <w:qFormat/>
    <w:uiPriority w:val="99"/>
    <w:pPr>
      <w:ind w:firstLine="570"/>
    </w:pPr>
    <w:rPr>
      <w:sz w:val="32"/>
      <w:szCs w:val="32"/>
    </w:rPr>
  </w:style>
  <w:style w:type="paragraph" w:styleId="5">
    <w:name w:val="annotation text"/>
    <w:basedOn w:val="1"/>
    <w:qFormat/>
    <w:uiPriority w:val="0"/>
    <w:pPr>
      <w:jc w:val="left"/>
    </w:pPr>
  </w:style>
  <w:style w:type="paragraph" w:styleId="6">
    <w:name w:val="footer"/>
    <w:basedOn w:val="1"/>
    <w:link w:val="15"/>
    <w:qFormat/>
    <w:uiPriority w:val="0"/>
    <w:pPr>
      <w:tabs>
        <w:tab w:val="center" w:pos="4153"/>
        <w:tab w:val="right" w:pos="8306"/>
      </w:tabs>
      <w:snapToGrid w:val="0"/>
      <w:spacing w:line="240" w:lineRule="auto"/>
      <w:jc w:val="left"/>
    </w:pPr>
    <w:rPr>
      <w:sz w:val="18"/>
      <w:szCs w:val="18"/>
    </w:rPr>
  </w:style>
  <w:style w:type="paragraph" w:styleId="7">
    <w:name w:val="header"/>
    <w:basedOn w:val="1"/>
    <w:link w:val="14"/>
    <w:qFormat/>
    <w:uiPriority w:val="0"/>
    <w:pPr>
      <w:tabs>
        <w:tab w:val="center" w:pos="4153"/>
        <w:tab w:val="right" w:pos="8306"/>
      </w:tabs>
      <w:snapToGrid w:val="0"/>
      <w:spacing w:line="240" w:lineRule="auto"/>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12">
    <w:name w:val="footnote reference"/>
    <w:basedOn w:val="11"/>
    <w:qFormat/>
    <w:uiPriority w:val="0"/>
    <w:rPr>
      <w:vertAlign w:val="superscript"/>
    </w:rPr>
  </w:style>
  <w:style w:type="paragraph" w:customStyle="1" w:styleId="13">
    <w:name w:val="Revision"/>
    <w:hidden/>
    <w:unhideWhenUsed/>
    <w:qFormat/>
    <w:uiPriority w:val="99"/>
    <w:rPr>
      <w:rFonts w:ascii="Times New Roman" w:hAnsi="Times New Roman" w:eastAsia="仿宋体" w:cs="Times New Roman"/>
      <w:kern w:val="2"/>
      <w:sz w:val="32"/>
      <w:lang w:val="en-US" w:eastAsia="zh-CN" w:bidi="ar-SA"/>
    </w:rPr>
  </w:style>
  <w:style w:type="character" w:customStyle="1" w:styleId="14">
    <w:name w:val="页眉 字符"/>
    <w:basedOn w:val="11"/>
    <w:link w:val="7"/>
    <w:qFormat/>
    <w:uiPriority w:val="0"/>
    <w:rPr>
      <w:rFonts w:eastAsia="仿宋体"/>
      <w:kern w:val="2"/>
      <w:sz w:val="18"/>
      <w:szCs w:val="18"/>
    </w:rPr>
  </w:style>
  <w:style w:type="character" w:customStyle="1" w:styleId="15">
    <w:name w:val="页脚 字符"/>
    <w:basedOn w:val="11"/>
    <w:link w:val="6"/>
    <w:qFormat/>
    <w:uiPriority w:val="0"/>
    <w:rPr>
      <w:rFonts w:eastAsia="仿宋体"/>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10077</Words>
  <Characters>10373</Characters>
  <Lines>96</Lines>
  <Paragraphs>27</Paragraphs>
  <TotalTime>9</TotalTime>
  <ScaleCrop>false</ScaleCrop>
  <LinksUpToDate>false</LinksUpToDate>
  <CharactersWithSpaces>10453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2025-11-20T15:52:00Z</dcterms:created>
  <dc:creator>Slade.</dc:creator>
  <cp:lastModifiedBy>user</cp:lastModifiedBy>
  <cp:lastPrinted>2026-01-31T23:22:00Z</cp:lastPrinted>
  <dcterms:modified xsi:type="dcterms:W3CDTF">2026-04-01T11:49:28Z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30D0699F719B466294FADDCF326F34AE_13</vt:lpwstr>
  </property>
  <property fmtid="{D5CDD505-2E9C-101B-9397-08002B2CF9AE}" pid="4" name="KSOTemplateDocerSaveRecord">
    <vt:lpwstr>eyJoZGlkIjoiYTc2ZGZiNzZiNDVlOGViOWVmM2JhOTY0NGJkNjUyYzgiLCJ1c2VySWQiOiIzMTE0NTI5MTgifQ==</vt:lpwstr>
  </property>
</Properties>
</file>