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rFonts w:ascii="黑体" w:hAnsi="黑体" w:cs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cs="仿宋_GB2312"/>
          <w:b/>
          <w:sz w:val="36"/>
          <w:szCs w:val="36"/>
        </w:rPr>
        <w:t>上海市市级企业技术中心评价方法</w:t>
      </w:r>
    </w:p>
    <w:p/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上海市市级企业技术中心的评价按以下工作程序进行：</w:t>
      </w:r>
    </w:p>
    <w:p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一、基础数据处理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在进行正式评价之前，首先需根据《上海市市级企业</w:t>
      </w:r>
      <w:r>
        <w:rPr>
          <w:rFonts w:ascii="仿宋_GB2312" w:hAnsi="仿宋_GB2312" w:eastAsia="仿宋_GB2312" w:cs="仿宋_GB2312"/>
          <w:sz w:val="32"/>
          <w:szCs w:val="32"/>
        </w:rPr>
        <w:t>技术中心认定评价工作指南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》（沪经信技〔</w:t>
      </w:r>
      <w:r>
        <w:rPr>
          <w:rFonts w:ascii="仿宋_GB2312" w:hAnsi="仿宋_GB2312" w:eastAsia="仿宋_GB2312" w:cs="仿宋_GB2312"/>
          <w:sz w:val="32"/>
          <w:szCs w:val="32"/>
        </w:rPr>
        <w:t>2022〕145号，以下简称《工作指南》）明确的各项指标解释，结合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评价附表（表1-16）</w:t>
      </w:r>
      <w:r>
        <w:rPr>
          <w:rFonts w:ascii="仿宋_GB2312" w:hAnsi="仿宋_GB2312" w:eastAsia="仿宋_GB2312" w:cs="仿宋_GB2312"/>
          <w:sz w:val="32"/>
          <w:szCs w:val="32"/>
        </w:rPr>
        <w:t>中的相关附件及证明材料，对“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上海市市级</w:t>
      </w:r>
      <w:r>
        <w:rPr>
          <w:rFonts w:ascii="仿宋_GB2312" w:hAnsi="仿宋_GB2312" w:eastAsia="仿宋_GB2312" w:cs="仿宋_GB2312"/>
          <w:sz w:val="32"/>
          <w:szCs w:val="32"/>
        </w:rPr>
        <w:t>企业技术中心评价数据表”中各项数据值进行逐项核实，对证明材料缺失或无效的数据予以核减，以最终的核定数据作为计算每项指标得分的依据。</w:t>
      </w:r>
    </w:p>
    <w:p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二、指标数值计算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在获得</w:t>
      </w:r>
      <w:r>
        <w:rPr>
          <w:rFonts w:ascii="仿宋_GB2312" w:hAnsi="仿宋_GB2312" w:eastAsia="仿宋_GB2312" w:cs="仿宋_GB2312"/>
          <w:sz w:val="32"/>
          <w:szCs w:val="32"/>
        </w:rPr>
        <w:t>评价数据表</w:t>
      </w:r>
      <w:r>
        <w:rPr>
          <w:rFonts w:hint="eastAsia" w:ascii="仿宋_GB2312" w:hAnsi="仿宋_GB2312" w:eastAsia="仿宋_GB2312" w:cs="仿宋_GB2312"/>
          <w:sz w:val="32"/>
          <w:szCs w:val="32"/>
        </w:rPr>
        <w:t>的核定数据后，可获得《上海市市级企业技术中心评价指标体系》（见《工作指南》附件</w:t>
      </w:r>
      <w:r>
        <w:rPr>
          <w:rFonts w:ascii="仿宋_GB2312" w:hAnsi="仿宋_GB2312" w:eastAsia="仿宋_GB2312" w:cs="仿宋_GB2312"/>
          <w:sz w:val="32"/>
          <w:szCs w:val="32"/>
        </w:rPr>
        <w:t>4第一部分）中各项指标的数值。其中，有6项指标的数值须通过计算获得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，计算方式如下：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(一）“研发人员人均研发经费支出指标”数值，由“研究与试验发展经费支出”核定数据除以“研究与试验发展人员数”核定数据得到；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(二）“研发经费支出占主营业务收入的比重”数值，由“研究与试验发展经费支出”核定数据除以“主营业务收入”核定数据，再乘以本企业所在行业的行业系数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和规模系数</w:t>
      </w:r>
      <w:r>
        <w:rPr>
          <w:rFonts w:ascii="仿宋_GB2312" w:hAnsi="仿宋_GB2312" w:eastAsia="仿宋_GB2312" w:cs="仿宋_GB2312"/>
          <w:sz w:val="32"/>
          <w:szCs w:val="32"/>
        </w:rPr>
        <w:t>得到；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(三）“研发人员占职工总数的比重”数值，由“研究与试验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发展人员数”核定数据除以“企业职工总数”核定数据得到；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）“新产品销售收入占主营业务收入的比重”数值，由“新产品销售收入”核定数据除以“主营业务收入”核定数据，再乘以本企业所在行业的行业系数得到；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ascii="仿宋_GB2312" w:hAnsi="仿宋_GB2312" w:eastAsia="仿宋_GB2312" w:cs="仿宋_GB2312"/>
          <w:sz w:val="32"/>
          <w:szCs w:val="32"/>
        </w:rPr>
        <w:t>）“新产品销售利润占利润总额的比重”数值，由“新产品销售利润”核定数据除以“利润总额”核定数据，再乘以本企业所在行业的行业系数得到；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ascii="仿宋_GB2312" w:hAnsi="仿宋_GB2312" w:eastAsia="仿宋_GB2312" w:cs="仿宋_GB2312"/>
          <w:sz w:val="32"/>
          <w:szCs w:val="32"/>
        </w:rPr>
        <w:t>）“利润率”数值，由“利润总额”核定数据除以“主营业务收入”核定数据得到。</w:t>
      </w:r>
    </w:p>
    <w:p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三、得分计算方法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获得《上海市市级企业技术中心评价指标体系》中各项指标的数值后，根据基本要求、满分要求以及相应的计算规则，计算出各项指标的得分，其总和就是该企业的评价得分。</w:t>
      </w:r>
    </w:p>
    <w:p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（一）</w:t>
      </w:r>
      <w:r>
        <w:rPr>
          <w:rFonts w:ascii="黑体" w:hAnsi="黑体" w:cs="仿宋_GB2312"/>
          <w:b/>
          <w:sz w:val="32"/>
          <w:szCs w:val="32"/>
        </w:rPr>
        <w:t>关于各项指标的基本要求和满分要求</w:t>
      </w:r>
    </w:p>
    <w:p>
      <w:pPr>
        <w:pStyle w:val="2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各项指标的基本要求、满分要求，由已认定上海市市级企业技术中心历史数据测算得到，并根据上海市市级企业技术中心创新发展总体情况进行动态调整。当前基本要求、满分要求的数值见下表。</w:t>
      </w:r>
    </w:p>
    <w:p>
      <w:pPr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表 各项指标基本要求和满分要求</w:t>
      </w:r>
    </w:p>
    <w:tbl>
      <w:tblPr>
        <w:tblStyle w:val="7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42"/>
        <w:gridCol w:w="709"/>
        <w:gridCol w:w="2648"/>
        <w:gridCol w:w="637"/>
        <w:gridCol w:w="623"/>
        <w:gridCol w:w="1873"/>
        <w:gridCol w:w="1505"/>
      </w:tblGrid>
      <w:tr>
        <w:trPr>
          <w:cantSplit/>
          <w:trHeight w:val="20" w:hRule="atLeast"/>
          <w:tblHeader/>
          <w:jc w:val="center"/>
        </w:trPr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一级指标</w:t>
            </w: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二级指标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权重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三级指标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单位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权重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基本要求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Cs w:val="21"/>
              </w:rPr>
              <w:t>满分标准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创新投入</w:t>
            </w: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创新经费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28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研发人员人均研发经费支出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千元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≥180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87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研发经费支出占主营业务收入的比重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16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≥3（乘以规模系数和行业系数后）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创新人才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16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研发人员占企业职工总数的比重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10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≥7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技术中心拥有的高层次人才数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人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≥3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来技术中心从事研发工作的外部专家工作时间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人月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创新条件</w:t>
            </w: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技术积累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企业拥有的全部Ⅰ类知识产权数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企业对外合作项目数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基础研究和应用研究项目数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创新平台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企业研究开发仪器设备原值及研发用软件购置费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千元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≥10000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8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拥有经认证的研发平台、实验室和检测机构数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技术中心与其他组织合办研发机构数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创新绩效</w:t>
            </w: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技术产出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12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当年被受理的Ⅰ类知识产权数申请数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当年被受理的PCT专利申请数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最近三年主持和参加制定的标准数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4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创新效益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20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新产品销售收入占主营业务收入的比重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8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≥20（乘以行业系数后）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新产品销售利润占利润总额的比重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7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≥15（乘以行业系数后）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利润率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%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5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≥5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3</w:t>
            </w:r>
            <w:r>
              <w:rPr>
                <w:rFonts w:ascii="仿宋_GB2312" w:hAnsi="仿宋_GB2312" w:eastAsia="仿宋_GB2312" w:cs="仿宋_GB2312"/>
                <w:spacing w:val="-6"/>
                <w:szCs w:val="21"/>
              </w:rPr>
              <w:t>0</w:t>
            </w: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加分</w:t>
            </w:r>
          </w:p>
        </w:tc>
        <w:tc>
          <w:tcPr>
            <w:tcW w:w="7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加分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20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近两年获国家、省（市）部级或行业奖励数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≤3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国家奖励一个加2分；省部级或行业奖励一个加1分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近两年承担市级以上专项数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项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≤5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国家专项加2分；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省市级专项加1分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企业拥有的全部有效国际专利数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≤4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企业拥有高质量专利数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件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≤4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技术中心在境外设立研发机构数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≤2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企业参与长三角区域合作项目数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个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≤2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每有一个加1分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  <w:tr>
        <w:trPr>
          <w:cantSplit/>
          <w:trHeight w:val="2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减分</w:t>
            </w:r>
          </w:p>
        </w:tc>
        <w:tc>
          <w:tcPr>
            <w:tcW w:w="7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减分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6</w:t>
            </w:r>
          </w:p>
        </w:tc>
        <w:tc>
          <w:tcPr>
            <w:tcW w:w="2648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未提交快报材料</w:t>
            </w:r>
          </w:p>
        </w:tc>
        <w:tc>
          <w:tcPr>
            <w:tcW w:w="6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次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≤6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一次未提交扣3分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6"/>
                <w:szCs w:val="21"/>
              </w:rPr>
            </w:pPr>
          </w:p>
        </w:tc>
      </w:tr>
    </w:tbl>
    <w:p>
      <w:pPr>
        <w:spacing w:line="240" w:lineRule="atLeast"/>
        <w:jc w:val="left"/>
        <w:rPr>
          <w:rFonts w:ascii="黑体" w:hAnsi="黑体" w:eastAsia="黑体" w:cs="仿宋_GB2312"/>
          <w:b/>
          <w:spacing w:val="-6"/>
          <w:sz w:val="32"/>
          <w:szCs w:val="32"/>
        </w:rPr>
      </w:pPr>
      <w:r>
        <w:rPr>
          <w:rFonts w:hint="eastAsia" w:ascii="黑体" w:hAnsi="黑体" w:eastAsia="黑体" w:cs="仿宋_GB2312"/>
          <w:b/>
          <w:spacing w:val="-6"/>
          <w:sz w:val="32"/>
          <w:szCs w:val="32"/>
        </w:rPr>
        <w:t>（二）关于指标得分的计算规则</w:t>
      </w:r>
    </w:p>
    <w:p>
      <w:pPr>
        <w:spacing w:line="240" w:lineRule="atLeast"/>
        <w:jc w:val="left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指标得分按照分段线性插值的方式进行计算。</w:t>
      </w:r>
    </w:p>
    <w:p>
      <w:pPr>
        <w:spacing w:line="240" w:lineRule="atLeast"/>
        <w:jc w:val="center"/>
        <w:rPr>
          <w:rFonts w:ascii="仿宋_GB2312" w:hAnsi="仿宋_GB2312" w:eastAsia="仿宋_GB2312" w:cs="仿宋_GB2312"/>
          <w:b/>
          <w:spacing w:val="-6"/>
          <w:szCs w:val="21"/>
        </w:rPr>
      </w:pPr>
      <w:r>
        <w:drawing>
          <wp:inline distT="0" distB="0" distL="0" distR="0">
            <wp:extent cx="5274310" cy="2784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具体计算规则如下：</w:t>
      </w:r>
    </w:p>
    <w:p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1、每项指标，计算结果达到基本要求的，给60%权重分。达到满分标准的，给100%权重分。指标数值为0 时，指标得分为0。</w:t>
      </w:r>
    </w:p>
    <w:p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2、指标数值处于0和基本要求之间时，指标得分按线性插值的方法计算，具体计算公式为：指标得分=指标数值/基本要求*60%权重分。</w:t>
      </w:r>
    </w:p>
    <w:p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3、指标数值处于基本要求和满分要求之间时，指标得分按线性插值的方法计算，具体计算公式为：指标得分=（指标数值-基本要求）/（满分要求－基本要求）*40%权重分+60%权重分</w:t>
      </w:r>
    </w:p>
    <w:p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4、得分数值计算结果采用四舍五入，保留一位小数；四舍五入等于0分的，给0.1分。</w:t>
      </w:r>
    </w:p>
    <w:p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5、“研发经费支出占主营业务收入的比重”，主营业务收入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0时，则按正常方式计算得分；主营业务收入为0时，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则该指标得满分。</w:t>
      </w:r>
    </w:p>
    <w:p>
      <w:pPr>
        <w:widowControl/>
        <w:spacing w:line="500" w:lineRule="exact"/>
        <w:ind w:firstLine="616" w:firstLineChars="200"/>
        <w:jc w:val="left"/>
        <w:rPr>
          <w:rFonts w:ascii="Times New Roman" w:hAnsi="Times New Roman" w:eastAsia="仿宋_GB2312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6、“新产品销售利润占利润总额的比重”，若新产品销售利润≤0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，则该指标得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0分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；若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新产品销售利润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0，利润总额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≤0，该指标得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60%权重分；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若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新产品销售利润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0，利润总额</w:t>
      </w:r>
      <w:r>
        <w:rPr>
          <w:rFonts w:hint="eastAsia" w:ascii="仿宋" w:hAnsi="仿宋" w:eastAsia="仿宋" w:cs="Times New Roman"/>
          <w:bCs/>
          <w:spacing w:val="-6"/>
          <w:sz w:val="32"/>
          <w:szCs w:val="32"/>
        </w:rPr>
        <w:t>&gt;</w:t>
      </w: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0，则按正常方式计算得分。</w:t>
      </w:r>
    </w:p>
    <w:p>
      <w:pPr>
        <w:spacing w:line="240" w:lineRule="atLeast"/>
        <w:ind w:firstLine="616" w:firstLineChars="200"/>
        <w:jc w:val="left"/>
        <w:rPr>
          <w:rFonts w:ascii="Times New Roman" w:hAnsi="Times New Roman" w:cs="Times New Roman"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-6"/>
          <w:sz w:val="32"/>
          <w:szCs w:val="32"/>
        </w:rPr>
        <w:t>7、加分项计算方式详见“指标体系”。</w:t>
      </w:r>
    </w:p>
    <w:p>
      <w:pPr>
        <w:pStyle w:val="2"/>
        <w:spacing w:line="500" w:lineRule="exact"/>
        <w:ind w:firstLine="643" w:firstLineChars="200"/>
        <w:rPr>
          <w:rFonts w:ascii="黑体" w:hAnsi="黑体" w:cs="仿宋_GB2312"/>
          <w:b/>
          <w:sz w:val="32"/>
          <w:szCs w:val="32"/>
        </w:rPr>
      </w:pPr>
      <w:r>
        <w:rPr>
          <w:rFonts w:hint="eastAsia" w:ascii="黑体" w:hAnsi="黑体" w:cs="仿宋_GB2312"/>
          <w:b/>
          <w:sz w:val="32"/>
          <w:szCs w:val="32"/>
        </w:rPr>
        <w:t>四、行业系数及规模系数</w:t>
      </w:r>
    </w:p>
    <w:p>
      <w:pPr>
        <w:spacing w:line="500" w:lineRule="exact"/>
        <w:ind w:firstLine="640" w:firstLineChars="200"/>
        <w:outlineLvl w:val="2"/>
        <w:rPr>
          <w:rFonts w:ascii="仿宋_GB2312"/>
          <w:b/>
          <w:kern w:val="0"/>
          <w:sz w:val="32"/>
          <w:szCs w:val="32"/>
        </w:rPr>
      </w:pPr>
      <w:r>
        <w:rPr>
          <w:rFonts w:hint="eastAsia" w:ascii="仿宋_GB2312" w:cs="黑体"/>
          <w:b/>
          <w:kern w:val="0"/>
          <w:sz w:val="32"/>
          <w:szCs w:val="32"/>
        </w:rPr>
        <w:t>1.行业系数</w:t>
      </w:r>
    </w:p>
    <w:tbl>
      <w:tblPr>
        <w:tblStyle w:val="7"/>
        <w:tblW w:w="8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082"/>
        <w:gridCol w:w="2195"/>
        <w:gridCol w:w="2000"/>
      </w:tblGrid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行业名称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12"/>
                <w:sz w:val="24"/>
                <w:szCs w:val="24"/>
              </w:rPr>
              <w:t>研发经费支出占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23"/>
                <w:sz w:val="24"/>
                <w:szCs w:val="24"/>
              </w:rPr>
              <w:t>主营业务收入的比重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17"/>
                <w:sz w:val="24"/>
                <w:szCs w:val="24"/>
              </w:rPr>
              <w:t>新产品销售收入占主营业务收入的比重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pacing w:val="-17"/>
                <w:sz w:val="24"/>
                <w:szCs w:val="24"/>
              </w:rPr>
              <w:t>新产品销售利润占利润总额的比重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农副食品加工业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食品制造业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酒、饮料和精制茶制造业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烟草制品业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纺织业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纺织服装、服饰业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皮革、毛皮、羽毛及其制品和制鞋业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1"/>
                <w:sz w:val="24"/>
                <w:szCs w:val="24"/>
              </w:rPr>
              <w:t>木材加工和木、竹、藤、棕、草制品业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家具制造业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造纸和纸制品业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印刷和记录媒介复制业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文教、工美、体育和娱乐用品制造业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化学原料和化学制品制造业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医药制造业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化学纤维制造业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橡胶和塑料制品业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非金属矿物制品业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黑色金属冶炼和压延加工业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有色金属冶炼和压延加工业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1.2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金属制品业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通用设备制造业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专用设备制造业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汽车制造业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铁路、船舶、航空航天和其他运输设备制造业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电气机械和器材制造业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计算机、通信和其他电子设备制造业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仪器仪表制造业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电力、热力、燃气与水生产和供应业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2.5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房屋建筑业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土木工程建筑业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建筑安装业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软件和信息技术服务业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0.6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专业技术服务业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  <w:tr>
        <w:trPr>
          <w:trHeight w:val="20" w:hRule="atLeast"/>
          <w:jc w:val="center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1.0</w:t>
            </w:r>
          </w:p>
        </w:tc>
      </w:tr>
    </w:tbl>
    <w:p>
      <w:pPr>
        <w:spacing w:line="520" w:lineRule="exact"/>
        <w:ind w:firstLine="640" w:firstLineChars="20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2.规模系数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hAnsi="Times New Roman" w:eastAsia="仿宋_GB2312" w:cs="宋体"/>
          <w:spacing w:val="-4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考虑到不同规模企业在研发投入强度上存在显著差异，对“研发经费支出占主营业务收入的比重”这一指标的基本要求设定企业规模系数：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仿宋_GB2312" w:hAnsi="Times New Roman" w:eastAsia="仿宋_GB2312" w:cs="宋体"/>
          <w:spacing w:val="-4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主营业务收入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500</w:t>
      </w: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亿元及以上的企业规模系数为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3</w:t>
      </w:r>
      <w:r>
        <w:rPr>
          <w:rFonts w:hint="eastAsia" w:ascii="仿宋_GB2312" w:hAnsi="Times New Roman" w:eastAsia="仿宋_GB2312" w:cs="宋体"/>
          <w:spacing w:val="-4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7" w:firstLineChars="218"/>
        <w:textAlignment w:val="auto"/>
        <w:rPr>
          <w:rFonts w:hint="eastAsia" w:ascii="仿宋_GB2312" w:hAnsi="Times New Roman" w:eastAsia="仿宋_GB2312" w:cs="宋体"/>
          <w:spacing w:val="-23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23"/>
          <w:sz w:val="32"/>
          <w:szCs w:val="32"/>
        </w:rPr>
        <w:t>主营业务收入100 - 500亿元(含100亿元)的企业规模系数为2；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主营业务收入10-100亿元(含10亿元)的企业规模系数为1.5；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主营业务收入10-3亿元(含3亿元)的企业规模系数为1;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主营业务收入3-2亿元(含2亿元)的企业规模系数为0.8;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主营业务收入2-1亿元（含1亿元）的企业规模系数为0.5；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  <w:r>
        <w:rPr>
          <w:rFonts w:hint="eastAsia" w:ascii="仿宋_GB2312" w:hAnsi="Times New Roman" w:eastAsia="仿宋_GB2312" w:cs="宋体"/>
          <w:spacing w:val="-17"/>
          <w:sz w:val="32"/>
          <w:szCs w:val="32"/>
        </w:rPr>
        <w:t>主营业务收入小于1亿元的企业规模系数为0.3。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3" w:firstLineChars="218"/>
        <w:textAlignment w:val="auto"/>
        <w:rPr>
          <w:rFonts w:hint="eastAsia" w:ascii="仿宋_GB2312" w:hAnsi="Times New Roman" w:eastAsia="仿宋_GB2312" w:cs="宋体"/>
          <w:spacing w:val="-17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7C"/>
    <w:rsid w:val="00021C04"/>
    <w:rsid w:val="000275D5"/>
    <w:rsid w:val="000510A1"/>
    <w:rsid w:val="001245AF"/>
    <w:rsid w:val="001C7430"/>
    <w:rsid w:val="00241C70"/>
    <w:rsid w:val="002E547C"/>
    <w:rsid w:val="00375D98"/>
    <w:rsid w:val="004673A9"/>
    <w:rsid w:val="00507D1D"/>
    <w:rsid w:val="00747549"/>
    <w:rsid w:val="007E5D67"/>
    <w:rsid w:val="00882A0E"/>
    <w:rsid w:val="008872E2"/>
    <w:rsid w:val="0088781E"/>
    <w:rsid w:val="00942EBD"/>
    <w:rsid w:val="009552C0"/>
    <w:rsid w:val="00966F90"/>
    <w:rsid w:val="00A90305"/>
    <w:rsid w:val="00B55264"/>
    <w:rsid w:val="00BE77DC"/>
    <w:rsid w:val="00C10AC8"/>
    <w:rsid w:val="00C657DF"/>
    <w:rsid w:val="00C87526"/>
    <w:rsid w:val="00D358F9"/>
    <w:rsid w:val="00DE1E44"/>
    <w:rsid w:val="00E521F5"/>
    <w:rsid w:val="00EA5433"/>
    <w:rsid w:val="00EB398F"/>
    <w:rsid w:val="00EC2B41"/>
    <w:rsid w:val="00FD54E8"/>
    <w:rsid w:val="00FE78EF"/>
    <w:rsid w:val="20747C11"/>
    <w:rsid w:val="5F7D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Cambria"/>
      <w:sz w:val="20"/>
      <w:szCs w:val="20"/>
    </w:rPr>
  </w:style>
  <w:style w:type="paragraph" w:styleId="3">
    <w:name w:val="annotation text"/>
    <w:basedOn w:val="1"/>
    <w:link w:val="13"/>
    <w:semiHidden/>
    <w:unhideWhenUsed/>
    <w:qFormat/>
    <w:uiPriority w:val="99"/>
    <w:pPr>
      <w:spacing w:line="240" w:lineRule="atLeast"/>
      <w:jc w:val="left"/>
    </w:pPr>
    <w:rPr>
      <w:rFonts w:ascii="Times New Roman" w:hAnsi="Times New Roman" w:eastAsia="仿宋_GB2312" w:cs="Times New Roman"/>
      <w:spacing w:val="-6"/>
      <w:sz w:val="32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3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20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2668</Words>
  <Characters>2978</Characters>
  <Lines>24</Lines>
  <Paragraphs>6</Paragraphs>
  <TotalTime>2</TotalTime>
  <ScaleCrop>false</ScaleCrop>
  <LinksUpToDate>false</LinksUpToDate>
  <CharactersWithSpaces>2984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2022-07-20T11:33:00Z</dcterms:created>
  <dc:creator>宋杰</dc:creator>
  <cp:lastModifiedBy>WPS_1702623175</cp:lastModifiedBy>
  <dcterms:modified xsi:type="dcterms:W3CDTF">2026-04-16T16:12:26Z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eyJoZGlkIjoiMjYxMzFiMjFkMDRmYzg4ZWM2NmZjMzI5NDZmNmMxZGIiLCJ1c2VySWQiOiI3OTMyOTQ3NDIifQ==</vt:lpwstr>
  </property>
  <property fmtid="{D5CDD505-2E9C-101B-9397-08002B2CF9AE}" pid="3" name="KSOProductBuildVer">
    <vt:lpwstr>2052-5.5.1.7991</vt:lpwstr>
  </property>
  <property fmtid="{D5CDD505-2E9C-101B-9397-08002B2CF9AE}" pid="4" name="ICV">
    <vt:lpwstr>48EAB15C2A175D3AEA99E069C078C23D_43</vt:lpwstr>
  </property>
</Properties>
</file>