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76" w:rsidRDefault="00177076" w:rsidP="00177076">
      <w:pPr>
        <w:spacing w:line="56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177076" w:rsidRDefault="00177076" w:rsidP="00177076">
      <w:pPr>
        <w:spacing w:line="120" w:lineRule="exact"/>
        <w:rPr>
          <w:rFonts w:ascii="黑体" w:eastAsia="黑体" w:hAnsi="黑体" w:hint="eastAsia"/>
          <w:szCs w:val="32"/>
        </w:rPr>
      </w:pPr>
    </w:p>
    <w:p w:rsidR="00177076" w:rsidRDefault="00177076" w:rsidP="00177076">
      <w:pPr>
        <w:spacing w:afterLines="60" w:line="56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第一届上海市数据交易专家委员会专家名单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1311"/>
        <w:gridCol w:w="1084"/>
        <w:gridCol w:w="5831"/>
      </w:tblGrid>
      <w:tr w:rsidR="00177076" w:rsidTr="00D84BCE">
        <w:trPr>
          <w:trHeight w:val="2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Cs w:val="32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5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177076" w:rsidTr="00D84BCE">
        <w:trPr>
          <w:trHeight w:val="2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主任</w:t>
            </w: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柴洪峰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中国工程院院士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、复旦大学教授</w:t>
            </w:r>
          </w:p>
        </w:tc>
      </w:tr>
      <w:tr w:rsidR="00177076" w:rsidTr="00D84BCE">
        <w:trPr>
          <w:trHeight w:val="2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副主任</w:t>
            </w: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郑建华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副主任</w:t>
            </w:r>
          </w:p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兼秘书长</w:t>
            </w: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邵志清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致公党上海市委专职副主委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、教授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副主任</w:t>
            </w: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其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实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东方财富信息有限公司董事长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35" w:type="pct"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副主任</w:t>
            </w: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杜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国家信息中心原常务副主任、</w:t>
            </w:r>
            <w:r>
              <w:rPr>
                <w:color w:val="000000"/>
                <w:kern w:val="0"/>
                <w:sz w:val="24"/>
                <w:szCs w:val="24"/>
              </w:rPr>
              <w:t>粤港澳大湾区大数据研究院理事长</w:t>
            </w:r>
          </w:p>
        </w:tc>
      </w:tr>
      <w:tr w:rsidR="00177076" w:rsidTr="00D84BCE">
        <w:trPr>
          <w:trHeight w:val="90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35" w:type="pct"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副主任</w:t>
            </w: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沈建明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浙江省政府参事、</w:t>
            </w:r>
            <w:r>
              <w:rPr>
                <w:color w:val="000000"/>
                <w:kern w:val="0"/>
                <w:sz w:val="24"/>
                <w:szCs w:val="24"/>
              </w:rPr>
              <w:t>上海市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决策咨询委员会</w:t>
            </w:r>
            <w:r>
              <w:rPr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5" w:type="pct"/>
            <w:vMerge w:val="restart"/>
            <w:textDirection w:val="tbRlV"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3"/>
                <w:sz w:val="24"/>
                <w:szCs w:val="24"/>
              </w:rPr>
              <w:t>委员</w:t>
            </w:r>
            <w:r>
              <w:rPr>
                <w:spacing w:val="23"/>
                <w:sz w:val="24"/>
                <w:szCs w:val="24"/>
              </w:rPr>
              <w:t>（按姓氏笔</w:t>
            </w:r>
            <w:r>
              <w:rPr>
                <w:rFonts w:hint="eastAsia"/>
                <w:spacing w:val="23"/>
                <w:sz w:val="24"/>
                <w:szCs w:val="24"/>
              </w:rPr>
              <w:t>画</w:t>
            </w:r>
            <w:r>
              <w:rPr>
                <w:spacing w:val="23"/>
                <w:sz w:val="24"/>
                <w:szCs w:val="24"/>
              </w:rPr>
              <w:t>排序）</w:t>
            </w: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于施洋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国家信息中心大数据发展部主任</w:t>
            </w:r>
          </w:p>
        </w:tc>
      </w:tr>
      <w:tr w:rsidR="00177076" w:rsidTr="00D84BCE">
        <w:trPr>
          <w:trHeight w:val="90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振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上海社会科学院副院长、信息研究所所长</w:t>
            </w:r>
          </w:p>
        </w:tc>
      </w:tr>
      <w:tr w:rsidR="00177076" w:rsidTr="00D84BCE">
        <w:trPr>
          <w:trHeight w:val="2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石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国务院参事、中国科学院虚拟经济与数据科学研究中心主任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印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鉴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ascii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中山大学人工智能学院副院长、广东省大数据分析与处理重点实验室主任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朱扬勇</w:t>
            </w:r>
            <w:proofErr w:type="gramEnd"/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复旦大学教授、上海市数据科学重点实验室主任、复旦大学数据产业研究中心副主任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刘迎风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上海市大数据中心副主任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汤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清华大学社会科学学院经济学研究所教授、所长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李心丹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上海证券交易所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科创板制度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评估专家委员会主任、上海证券交易所上市委员会委员、指数专家委员会委员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李扣庆</w:t>
            </w:r>
            <w:proofErr w:type="gramEnd"/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上海国家会计学院党委书记、院长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李红光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深圳交易集团党委委员、集团副总经理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李欲晓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中国网络空间研究院副院长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余晓晖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中国信息通信研究院院长、党委副书记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立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中国电子信息产业发展研究院院长、党委副书记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陆志鹏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中国电子信息产业集团党组成员、副总经理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陈吉栋</w:t>
            </w:r>
            <w:proofErr w:type="gramEnd"/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上海大学大数据与人工智能法治研究中心执行主任</w:t>
            </w:r>
          </w:p>
        </w:tc>
      </w:tr>
      <w:tr w:rsidR="00177076" w:rsidTr="00D84BCE">
        <w:trPr>
          <w:trHeight w:val="275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周傲英</w:t>
            </w:r>
            <w:proofErr w:type="gramEnd"/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华东师范大学副校长、华东师范大学数据科学与工程学院教授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赵国栋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中关村大数据产业联盟秘书长，中国人民大学数字治理及数字经济研究中心联席主任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钟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宏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清华大学技术创新研究中心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数权经济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实验室主任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施伟东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上海市法学会党组副书记、专职副会长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高富平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华东政法大学法学教授、博士生导师、法学博士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黄丽华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大数据流通与交易技术国家工程实验室执行主任、复旦大学管理学院教授、博士生导师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崔艳春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上海市城市数字化转型应用促进中心主任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华东政法大学教授、博士生导师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35" w:type="pct"/>
            <w:vMerge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jc w:val="center"/>
              <w:rPr>
                <w:szCs w:val="32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山东数据交易有限公司董事长</w:t>
            </w:r>
          </w:p>
        </w:tc>
      </w:tr>
      <w:tr w:rsidR="00177076" w:rsidTr="00D84BCE">
        <w:trPr>
          <w:trHeight w:val="113"/>
          <w:jc w:val="center"/>
        </w:trPr>
        <w:tc>
          <w:tcPr>
            <w:tcW w:w="384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35" w:type="pct"/>
            <w:vMerge/>
            <w:textDirection w:val="tbRlV"/>
            <w:vAlign w:val="center"/>
          </w:tcPr>
          <w:p w:rsidR="00177076" w:rsidRDefault="00177076" w:rsidP="00D84BCE">
            <w:pPr>
              <w:widowControl/>
              <w:suppressAutoHyphens/>
              <w:spacing w:line="400" w:lineRule="exact"/>
              <w:ind w:left="113" w:right="113"/>
              <w:jc w:val="center"/>
              <w:rPr>
                <w:rFonts w:hint="eastAsia"/>
                <w:spacing w:val="23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管延放</w:t>
            </w:r>
            <w:proofErr w:type="gramEnd"/>
          </w:p>
        </w:tc>
        <w:tc>
          <w:tcPr>
            <w:tcW w:w="3271" w:type="pct"/>
            <w:vAlign w:val="center"/>
          </w:tcPr>
          <w:p w:rsidR="00177076" w:rsidRDefault="00177076" w:rsidP="00D84BCE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勤中国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人工智能领导合伙人</w:t>
            </w:r>
          </w:p>
        </w:tc>
      </w:tr>
    </w:tbl>
    <w:p w:rsidR="00177076" w:rsidRDefault="00177076" w:rsidP="00177076">
      <w:pPr>
        <w:pStyle w:val="a4"/>
        <w:rPr>
          <w:rFonts w:hint="eastAsia"/>
        </w:rPr>
      </w:pPr>
    </w:p>
    <w:p w:rsidR="008F61CD" w:rsidRPr="00177076" w:rsidRDefault="008F61CD"/>
    <w:sectPr w:rsidR="008F61CD" w:rsidRPr="0017707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076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076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707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qFormat/>
    <w:rsid w:val="00177076"/>
    <w:pPr>
      <w:suppressAutoHyphens/>
      <w:spacing w:before="240" w:after="60" w:line="240" w:lineRule="auto"/>
      <w:jc w:val="center"/>
      <w:outlineLvl w:val="0"/>
    </w:pPr>
    <w:rPr>
      <w:rFonts w:ascii="DejaVu Sans" w:eastAsia="宋体" w:hAnsi="DejaVu Sans"/>
      <w:b/>
      <w:spacing w:val="0"/>
      <w:szCs w:val="24"/>
    </w:rPr>
  </w:style>
  <w:style w:type="character" w:customStyle="1" w:styleId="Char">
    <w:name w:val="标题 Char"/>
    <w:basedOn w:val="a1"/>
    <w:link w:val="a4"/>
    <w:rsid w:val="00177076"/>
    <w:rPr>
      <w:rFonts w:ascii="DejaVu Sans" w:eastAsia="宋体" w:hAnsi="DejaVu Sans" w:cs="Times New Roman"/>
      <w:b/>
      <w:sz w:val="32"/>
      <w:szCs w:val="24"/>
    </w:rPr>
  </w:style>
  <w:style w:type="paragraph" w:styleId="a0">
    <w:name w:val="Body Text"/>
    <w:basedOn w:val="a"/>
    <w:link w:val="Char0"/>
    <w:uiPriority w:val="99"/>
    <w:semiHidden/>
    <w:unhideWhenUsed/>
    <w:rsid w:val="00177076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177076"/>
    <w:rPr>
      <w:rFonts w:ascii="Times New Roman" w:eastAsia="仿宋_GB2312" w:hAnsi="Times New Roman" w:cs="Times New Roman"/>
      <w:spacing w:val="-6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2021-11-24T09:27:00Z</dcterms:created>
  <dcterms:modified xsi:type="dcterms:W3CDTF">2021-11-24T09:28:00Z</dcterms:modified>
</cp:coreProperties>
</file>