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C189A">
      <w:pPr>
        <w:pStyle w:val="2"/>
        <w:snapToGrid w:val="0"/>
        <w:spacing w:before="0" w:after="0" w:line="240" w:lineRule="auto"/>
        <w:rPr>
          <w:rFonts w:hint="eastAsia" w:ascii="方正小标宋_GBK" w:eastAsia="方正小标宋_GBK"/>
          <w:snapToGrid w:val="0"/>
        </w:rPr>
      </w:pPr>
      <w:r>
        <w:rPr>
          <w:rFonts w:hint="eastAsia" w:ascii="方正小标宋_GBK" w:eastAsia="方正小标宋_GBK"/>
          <w:snapToGrid w:val="0"/>
        </w:rPr>
        <w:t>关于规范上海市业余无线电中继台设置和使用规划的通知</w:t>
      </w:r>
    </w:p>
    <w:p w14:paraId="334942B0">
      <w:pPr>
        <w:rPr>
          <w:rFonts w:hint="eastAsia" w:ascii="仿宋_GB2312" w:hAnsi="宋体" w:eastAsia="仿宋_GB2312" w:cs="Times New Roman"/>
          <w:kern w:val="0"/>
          <w:sz w:val="32"/>
          <w:szCs w:val="32"/>
          <w:lang w:val="en-US" w:eastAsia="zh-CN" w:bidi="ar-SA"/>
        </w:rPr>
      </w:pPr>
      <w:r>
        <w:rPr>
          <w:rFonts w:hint="eastAsia" w:ascii="仿宋_GB2312" w:hAnsi="宋体" w:eastAsia="仿宋_GB2312" w:cs="Times New Roman"/>
          <w:kern w:val="0"/>
          <w:sz w:val="32"/>
          <w:szCs w:val="32"/>
          <w:lang w:val="en-US" w:eastAsia="zh-CN" w:bidi="ar-SA"/>
        </w:rPr>
        <w:t>（征求意见稿）</w:t>
      </w:r>
    </w:p>
    <w:p w14:paraId="6DC0D9A3">
      <w:pPr>
        <w:rPr>
          <w:rFonts w:hint="eastAsia" w:ascii="仿宋_GB2312" w:hAnsi="宋体" w:eastAsia="仿宋_GB2312" w:cs="Times New Roman"/>
          <w:kern w:val="0"/>
          <w:sz w:val="32"/>
          <w:szCs w:val="32"/>
          <w:lang w:val="en-US" w:eastAsia="zh-CN" w:bidi="ar-SA"/>
        </w:rPr>
      </w:pPr>
      <w:bookmarkStart w:id="0" w:name="_GoBack"/>
      <w:bookmarkEnd w:id="0"/>
    </w:p>
    <w:p w14:paraId="49F618A3">
      <w:pPr>
        <w:pStyle w:val="7"/>
        <w:spacing w:beforeAutospacing="0" w:afterAutospacing="0" w:line="360" w:lineRule="auto"/>
        <w:ind w:firstLine="640" w:firstLineChars="200"/>
        <w:jc w:val="both"/>
        <w:rPr>
          <w:sz w:val="32"/>
          <w:szCs w:val="32"/>
        </w:rPr>
      </w:pPr>
      <w:r>
        <w:rPr>
          <w:rFonts w:hint="eastAsia"/>
          <w:sz w:val="32"/>
          <w:szCs w:val="32"/>
        </w:rPr>
        <w:t>为了加强本市业余无线电中继台（以下简称业余中继台）的管理，维护空中电波秩序，促进业余无线电业务健康有序开展，根据《中华人民共和国无线电管理条例》《业余无线电台管理办法》《上海市无线电管理办法》，以及相关法律、行政法规，</w:t>
      </w:r>
      <w:r>
        <w:rPr>
          <w:sz w:val="32"/>
          <w:szCs w:val="32"/>
        </w:rPr>
        <w:t>现就有关事项通知如下：</w:t>
      </w:r>
    </w:p>
    <w:p w14:paraId="3FD567FF">
      <w:pPr>
        <w:pStyle w:val="7"/>
        <w:spacing w:beforeAutospacing="0" w:afterAutospacing="0" w:line="360" w:lineRule="auto"/>
        <w:ind w:firstLine="640" w:firstLineChars="200"/>
        <w:jc w:val="left"/>
        <w:outlineLvl w:val="0"/>
        <w:rPr>
          <w:rStyle w:val="10"/>
          <w:rFonts w:ascii="黑体" w:hAnsi="黑体" w:eastAsia="黑体" w:cs="仿宋_GB2312"/>
          <w:b w:val="0"/>
          <w:bCs/>
          <w:sz w:val="32"/>
          <w:szCs w:val="32"/>
        </w:rPr>
      </w:pPr>
      <w:r>
        <w:rPr>
          <w:rStyle w:val="10"/>
          <w:rFonts w:hint="eastAsia" w:ascii="黑体" w:hAnsi="黑体" w:eastAsia="黑体" w:cs="仿宋_GB2312"/>
          <w:b w:val="0"/>
          <w:bCs/>
          <w:sz w:val="32"/>
          <w:szCs w:val="32"/>
        </w:rPr>
        <w:t>一、总体要求</w:t>
      </w:r>
    </w:p>
    <w:p w14:paraId="155EBC4F">
      <w:pPr>
        <w:pStyle w:val="7"/>
        <w:spacing w:beforeAutospacing="0" w:afterAutospacing="0" w:line="360" w:lineRule="auto"/>
        <w:ind w:firstLine="640" w:firstLineChars="200"/>
        <w:jc w:val="both"/>
        <w:rPr>
          <w:sz w:val="32"/>
          <w:szCs w:val="32"/>
        </w:rPr>
      </w:pPr>
      <w:r>
        <w:rPr>
          <w:rFonts w:hint="eastAsia"/>
          <w:sz w:val="32"/>
          <w:szCs w:val="32"/>
        </w:rPr>
        <w:t>本通知所称业余中继台是指通过对业余无线电信号接收和放大转发，扩大通联范围的业余无线电台。</w:t>
      </w:r>
    </w:p>
    <w:p w14:paraId="56C52438">
      <w:pPr>
        <w:pStyle w:val="7"/>
        <w:spacing w:beforeAutospacing="0" w:afterAutospacing="0" w:line="360" w:lineRule="auto"/>
        <w:ind w:firstLine="640" w:firstLineChars="200"/>
        <w:jc w:val="both"/>
        <w:rPr>
          <w:sz w:val="32"/>
          <w:szCs w:val="32"/>
        </w:rPr>
      </w:pPr>
      <w:r>
        <w:rPr>
          <w:rFonts w:hint="eastAsia"/>
          <w:sz w:val="32"/>
          <w:szCs w:val="32"/>
        </w:rPr>
        <w:t>业余中继台只能用于相互通信、技术研究和自我训练，并在业余业务频率范围内收发信号，不得用于谋取商业利益。</w:t>
      </w:r>
    </w:p>
    <w:p w14:paraId="1CFA757D">
      <w:pPr>
        <w:pStyle w:val="7"/>
        <w:spacing w:beforeAutospacing="0" w:afterAutospacing="0" w:line="360" w:lineRule="auto"/>
        <w:ind w:firstLine="640" w:firstLineChars="200"/>
        <w:jc w:val="both"/>
        <w:rPr>
          <w:sz w:val="32"/>
          <w:szCs w:val="32"/>
        </w:rPr>
      </w:pPr>
      <w:r>
        <w:rPr>
          <w:rFonts w:hint="eastAsia"/>
          <w:sz w:val="32"/>
          <w:szCs w:val="32"/>
        </w:rPr>
        <w:t>在本市业余中继台区域规划内设置业余中继台，应以资源共享方式，向其覆盖区域内的业余无线电台提供平等服务。</w:t>
      </w:r>
    </w:p>
    <w:p w14:paraId="3D114FCC">
      <w:pPr>
        <w:pStyle w:val="7"/>
        <w:spacing w:beforeAutospacing="0" w:afterAutospacing="0" w:line="360" w:lineRule="auto"/>
        <w:ind w:firstLine="640" w:firstLineChars="200"/>
        <w:jc w:val="left"/>
        <w:outlineLvl w:val="0"/>
        <w:rPr>
          <w:rStyle w:val="10"/>
          <w:rFonts w:ascii="黑体" w:hAnsi="黑体" w:eastAsia="黑体" w:cs="仿宋_GB2312"/>
          <w:b w:val="0"/>
          <w:bCs/>
          <w:sz w:val="32"/>
          <w:szCs w:val="32"/>
        </w:rPr>
      </w:pPr>
      <w:r>
        <w:rPr>
          <w:rStyle w:val="10"/>
          <w:rFonts w:hint="eastAsia" w:ascii="黑体" w:hAnsi="黑体" w:eastAsia="黑体" w:cs="仿宋_GB2312"/>
          <w:b w:val="0"/>
          <w:bCs/>
          <w:sz w:val="32"/>
          <w:szCs w:val="32"/>
        </w:rPr>
        <w:t>二、业余中继台的技术要求</w:t>
      </w:r>
    </w:p>
    <w:p w14:paraId="5C2F24CB">
      <w:pPr>
        <w:pStyle w:val="7"/>
        <w:spacing w:beforeAutospacing="0" w:afterAutospacing="0" w:line="360" w:lineRule="auto"/>
        <w:ind w:firstLine="640" w:firstLineChars="200"/>
        <w:jc w:val="both"/>
        <w:rPr>
          <w:sz w:val="32"/>
          <w:szCs w:val="32"/>
        </w:rPr>
      </w:pPr>
      <w:r>
        <w:rPr>
          <w:rFonts w:hint="eastAsia"/>
          <w:sz w:val="32"/>
          <w:szCs w:val="32"/>
        </w:rPr>
        <w:t>（一）业余中继台工作频率应遵循国际惯例，采用高发低收方式，使用频率为144-146MHz，具体信道划分见附件1。频率使用应遵循频带外让频带内、次要业务让主要业务、后用让先用、无规划让有规划的原则，避让相关频率。</w:t>
      </w:r>
    </w:p>
    <w:p w14:paraId="17A357DD">
      <w:pPr>
        <w:pStyle w:val="7"/>
        <w:spacing w:beforeAutospacing="0" w:afterAutospacing="0" w:line="360" w:lineRule="auto"/>
        <w:ind w:firstLine="640" w:firstLineChars="200"/>
        <w:jc w:val="both"/>
        <w:rPr>
          <w:sz w:val="32"/>
          <w:szCs w:val="32"/>
        </w:rPr>
      </w:pPr>
      <w:r>
        <w:rPr>
          <w:rFonts w:hint="eastAsia"/>
          <w:sz w:val="32"/>
          <w:szCs w:val="32"/>
        </w:rPr>
        <w:t>（二）为提高频谱资源使用率，鼓励业余中继台使用数字模拟多模混合信号制式，其中模拟制式建议使用的亚音频参数为88.5Hz，数字制式鼓励使用业余中继台专用数字模式。</w:t>
      </w:r>
    </w:p>
    <w:p w14:paraId="706E8423">
      <w:pPr>
        <w:pStyle w:val="7"/>
        <w:spacing w:beforeAutospacing="0" w:afterAutospacing="0" w:line="360" w:lineRule="auto"/>
        <w:ind w:firstLine="640" w:firstLineChars="200"/>
        <w:jc w:val="both"/>
        <w:rPr>
          <w:sz w:val="32"/>
          <w:szCs w:val="32"/>
        </w:rPr>
      </w:pPr>
      <w:r>
        <w:rPr>
          <w:rFonts w:hint="eastAsia"/>
          <w:sz w:val="32"/>
          <w:szCs w:val="32"/>
        </w:rPr>
        <w:t>（三）每个业余中继台只能使用无线电管理机构所指配的一对固定频率，发射功率应不大于25W。</w:t>
      </w:r>
    </w:p>
    <w:p w14:paraId="5AD01E29">
      <w:pPr>
        <w:pStyle w:val="7"/>
        <w:spacing w:beforeAutospacing="0" w:afterAutospacing="0" w:line="360" w:lineRule="auto"/>
        <w:ind w:firstLine="640" w:firstLineChars="200"/>
        <w:jc w:val="both"/>
        <w:rPr>
          <w:sz w:val="32"/>
          <w:szCs w:val="32"/>
        </w:rPr>
      </w:pPr>
      <w:r>
        <w:rPr>
          <w:rFonts w:hint="eastAsia"/>
          <w:sz w:val="32"/>
          <w:szCs w:val="32"/>
        </w:rPr>
        <w:t>（四）使用的业余中继台应具备无线电发射设备型号核准证；使用自制、改装、拼装等未取得型号核准证的业余中继台应符合国家标准和国家无线电管理有关规定，且无线电发射频率范围仅限于业余业务频段，同时应取得本市无线电管理机构组织检测并出具的业余中继台技术参数检测合规性证明材料，免收技术参数检测费用。</w:t>
      </w:r>
    </w:p>
    <w:p w14:paraId="7D21F703">
      <w:pPr>
        <w:pStyle w:val="7"/>
        <w:spacing w:beforeAutospacing="0" w:afterAutospacing="0" w:line="360" w:lineRule="auto"/>
        <w:ind w:firstLine="640" w:firstLineChars="200"/>
        <w:jc w:val="both"/>
        <w:rPr>
          <w:sz w:val="32"/>
          <w:szCs w:val="32"/>
        </w:rPr>
      </w:pPr>
      <w:r>
        <w:rPr>
          <w:rFonts w:hint="eastAsia"/>
          <w:sz w:val="32"/>
          <w:szCs w:val="32"/>
        </w:rPr>
        <w:t>（五）本市业余中继台呼号前三位为BR4，呼号后缀按国家相关规定及申请的先后顺序分配。</w:t>
      </w:r>
    </w:p>
    <w:p w14:paraId="1B0E326A">
      <w:pPr>
        <w:pStyle w:val="7"/>
        <w:spacing w:beforeAutospacing="0" w:afterAutospacing="0" w:line="360" w:lineRule="auto"/>
        <w:ind w:firstLine="640" w:firstLineChars="200"/>
        <w:jc w:val="both"/>
        <w:rPr>
          <w:sz w:val="32"/>
          <w:szCs w:val="32"/>
        </w:rPr>
      </w:pPr>
      <w:r>
        <w:rPr>
          <w:rFonts w:hint="eastAsia"/>
          <w:sz w:val="32"/>
          <w:szCs w:val="32"/>
        </w:rPr>
        <w:t>（六）为发挥业余中继台在抢险救援中的积极作用，鼓励本市业余无线电爱好者参与应急救援活动，将</w:t>
      </w:r>
      <w:r>
        <w:rPr>
          <w:sz w:val="32"/>
          <w:szCs w:val="32"/>
        </w:rPr>
        <w:t>145.0125/144.4125MHz预留为本市应急中继频率</w:t>
      </w:r>
      <w:r>
        <w:rPr>
          <w:rFonts w:hint="eastAsia"/>
          <w:sz w:val="32"/>
          <w:szCs w:val="32"/>
        </w:rPr>
        <w:t>，</w:t>
      </w:r>
      <w:r>
        <w:rPr>
          <w:sz w:val="32"/>
          <w:szCs w:val="32"/>
        </w:rPr>
        <w:t>业余</w:t>
      </w:r>
      <w:r>
        <w:rPr>
          <w:rFonts w:hint="eastAsia"/>
          <w:sz w:val="32"/>
          <w:szCs w:val="32"/>
        </w:rPr>
        <w:t>无线电</w:t>
      </w:r>
      <w:r>
        <w:rPr>
          <w:sz w:val="32"/>
          <w:szCs w:val="32"/>
        </w:rPr>
        <w:t>爱好者和业余中继台可在应急救援活动中使用以上应急</w:t>
      </w:r>
      <w:r>
        <w:rPr>
          <w:rFonts w:hint="eastAsia"/>
          <w:sz w:val="32"/>
          <w:szCs w:val="32"/>
        </w:rPr>
        <w:t>中继</w:t>
      </w:r>
      <w:r>
        <w:rPr>
          <w:sz w:val="32"/>
          <w:szCs w:val="32"/>
        </w:rPr>
        <w:t>频率。</w:t>
      </w:r>
    </w:p>
    <w:p w14:paraId="0AB0DDF5">
      <w:pPr>
        <w:pStyle w:val="7"/>
        <w:spacing w:beforeAutospacing="0" w:afterAutospacing="0" w:line="360" w:lineRule="auto"/>
        <w:ind w:firstLine="643" w:firstLineChars="200"/>
        <w:jc w:val="left"/>
        <w:outlineLvl w:val="0"/>
        <w:rPr>
          <w:rStyle w:val="10"/>
          <w:rFonts w:ascii="黑体" w:hAnsi="黑体" w:eastAsia="黑体" w:cs="仿宋_GB2312"/>
          <w:bCs/>
          <w:sz w:val="32"/>
          <w:szCs w:val="32"/>
        </w:rPr>
      </w:pPr>
      <w:r>
        <w:rPr>
          <w:rStyle w:val="10"/>
          <w:rFonts w:hint="eastAsia" w:ascii="黑体" w:hAnsi="黑体" w:eastAsia="黑体" w:cs="仿宋_GB2312"/>
          <w:bCs/>
          <w:sz w:val="32"/>
          <w:szCs w:val="32"/>
        </w:rPr>
        <w:t>三、业余中继台的设置要求</w:t>
      </w:r>
    </w:p>
    <w:p w14:paraId="3E3FC47D">
      <w:pPr>
        <w:pStyle w:val="7"/>
        <w:numPr>
          <w:ilvl w:val="0"/>
          <w:numId w:val="1"/>
        </w:numPr>
        <w:spacing w:beforeAutospacing="0" w:afterAutospacing="0" w:line="360" w:lineRule="auto"/>
        <w:ind w:left="0" w:firstLine="640" w:firstLineChars="200"/>
        <w:jc w:val="both"/>
        <w:rPr>
          <w:sz w:val="32"/>
          <w:szCs w:val="32"/>
        </w:rPr>
      </w:pPr>
      <w:r>
        <w:rPr>
          <w:rFonts w:hint="eastAsia"/>
          <w:sz w:val="32"/>
          <w:szCs w:val="32"/>
        </w:rPr>
        <w:t>申请设置业余中继台的主体（个人或单位），应具备下列条件：</w:t>
      </w:r>
    </w:p>
    <w:p w14:paraId="2F61CA00">
      <w:pPr>
        <w:spacing w:line="360" w:lineRule="auto"/>
        <w:ind w:firstLine="640" w:firstLineChars="200"/>
        <w:jc w:val="both"/>
        <w:rPr>
          <w:sz w:val="32"/>
          <w:szCs w:val="32"/>
        </w:rPr>
      </w:pPr>
      <w:r>
        <w:rPr>
          <w:rFonts w:hint="eastAsia"/>
          <w:sz w:val="32"/>
          <w:szCs w:val="32"/>
        </w:rPr>
        <w:t>1.应熟悉无线电管理有关规定；</w:t>
      </w:r>
    </w:p>
    <w:p w14:paraId="558F2CA1">
      <w:pPr>
        <w:spacing w:line="360" w:lineRule="auto"/>
        <w:ind w:firstLine="640" w:firstLineChars="200"/>
        <w:jc w:val="both"/>
        <w:rPr>
          <w:sz w:val="32"/>
          <w:szCs w:val="32"/>
        </w:rPr>
      </w:pPr>
      <w:r>
        <w:rPr>
          <w:rFonts w:hint="eastAsia"/>
          <w:sz w:val="32"/>
          <w:szCs w:val="32"/>
        </w:rPr>
        <w:t>2.具备国家无线电管理机构规定的业余无线电台的操作技术能力；</w:t>
      </w:r>
    </w:p>
    <w:p w14:paraId="70AFF307">
      <w:pPr>
        <w:spacing w:line="360" w:lineRule="auto"/>
        <w:ind w:firstLine="640" w:firstLineChars="200"/>
        <w:jc w:val="both"/>
        <w:rPr>
          <w:sz w:val="32"/>
          <w:szCs w:val="32"/>
        </w:rPr>
      </w:pPr>
      <w:r>
        <w:rPr>
          <w:rFonts w:hint="eastAsia"/>
          <w:sz w:val="32"/>
          <w:szCs w:val="32"/>
        </w:rPr>
        <w:t>3.使用的业余中继台技术指标应符合国家相关技术标准；</w:t>
      </w:r>
    </w:p>
    <w:p w14:paraId="290B4BE1">
      <w:pPr>
        <w:spacing w:line="360" w:lineRule="auto"/>
        <w:ind w:firstLine="640" w:firstLineChars="200"/>
        <w:jc w:val="both"/>
        <w:rPr>
          <w:sz w:val="32"/>
          <w:szCs w:val="32"/>
        </w:rPr>
      </w:pPr>
      <w:r>
        <w:rPr>
          <w:rFonts w:hint="eastAsia"/>
          <w:sz w:val="32"/>
          <w:szCs w:val="32"/>
        </w:rPr>
        <w:t>4.具有必要的管理措施，设专人负责监控和管理工作。</w:t>
      </w:r>
    </w:p>
    <w:p w14:paraId="6832A20F">
      <w:pPr>
        <w:spacing w:line="360" w:lineRule="auto"/>
        <w:ind w:firstLine="640" w:firstLineChars="200"/>
        <w:jc w:val="both"/>
        <w:rPr>
          <w:sz w:val="32"/>
          <w:szCs w:val="32"/>
        </w:rPr>
      </w:pPr>
      <w:r>
        <w:rPr>
          <w:rFonts w:hint="eastAsia"/>
          <w:sz w:val="32"/>
          <w:szCs w:val="32"/>
        </w:rPr>
        <w:t>单位申请设置业余中继台的，其业余中继台负责人应当具备前款第一项的条件，技术负责人应当具备前款第一项和第二项规定的条件。</w:t>
      </w:r>
    </w:p>
    <w:p w14:paraId="798004D1">
      <w:pPr>
        <w:spacing w:line="360" w:lineRule="auto"/>
        <w:ind w:firstLine="640" w:firstLineChars="200"/>
        <w:jc w:val="both"/>
        <w:rPr>
          <w:sz w:val="32"/>
          <w:szCs w:val="32"/>
        </w:rPr>
      </w:pPr>
      <w:r>
        <w:rPr>
          <w:rFonts w:hint="eastAsia"/>
          <w:sz w:val="32"/>
          <w:szCs w:val="32"/>
        </w:rPr>
        <w:t>个人申请设置业余中继台的，业余中继台负责人应为申请者本人。</w:t>
      </w:r>
    </w:p>
    <w:p w14:paraId="3F45D14B">
      <w:pPr>
        <w:spacing w:line="360" w:lineRule="auto"/>
        <w:ind w:firstLine="640" w:firstLineChars="200"/>
        <w:jc w:val="both"/>
        <w:rPr>
          <w:sz w:val="32"/>
          <w:szCs w:val="32"/>
        </w:rPr>
      </w:pPr>
      <w:r>
        <w:rPr>
          <w:rFonts w:hint="eastAsia"/>
          <w:sz w:val="32"/>
          <w:szCs w:val="32"/>
        </w:rPr>
        <w:t>中华人民共和国境外的组织或者个人不得在本市设置业余中继台，国家另行规定的除外。</w:t>
      </w:r>
    </w:p>
    <w:p w14:paraId="747AFE63">
      <w:pPr>
        <w:pStyle w:val="7"/>
        <w:numPr>
          <w:ilvl w:val="0"/>
          <w:numId w:val="1"/>
        </w:numPr>
        <w:spacing w:beforeAutospacing="0" w:afterAutospacing="0" w:line="360" w:lineRule="auto"/>
        <w:ind w:left="0" w:firstLine="640" w:firstLineChars="200"/>
        <w:jc w:val="both"/>
        <w:rPr>
          <w:sz w:val="32"/>
          <w:szCs w:val="32"/>
        </w:rPr>
      </w:pPr>
      <w:r>
        <w:rPr>
          <w:rFonts w:hint="eastAsia"/>
          <w:sz w:val="32"/>
          <w:szCs w:val="32"/>
        </w:rPr>
        <w:t xml:space="preserve">申请设置业余中继台，应向本市无线电管理机构提交下列材料： </w:t>
      </w:r>
    </w:p>
    <w:p w14:paraId="2D7E1B7F">
      <w:pPr>
        <w:spacing w:line="360" w:lineRule="auto"/>
        <w:ind w:firstLine="640" w:firstLineChars="200"/>
        <w:jc w:val="both"/>
        <w:rPr>
          <w:sz w:val="32"/>
          <w:szCs w:val="32"/>
        </w:rPr>
      </w:pPr>
      <w:r>
        <w:rPr>
          <w:rFonts w:hint="eastAsia"/>
          <w:sz w:val="32"/>
          <w:szCs w:val="32"/>
        </w:rPr>
        <w:t>1.业余无线电台设置、使用申请表；</w:t>
      </w:r>
    </w:p>
    <w:p w14:paraId="59F1909B">
      <w:pPr>
        <w:spacing w:line="360" w:lineRule="auto"/>
        <w:ind w:firstLine="640" w:firstLineChars="200"/>
        <w:jc w:val="both"/>
        <w:rPr>
          <w:sz w:val="32"/>
          <w:szCs w:val="32"/>
        </w:rPr>
      </w:pPr>
      <w:r>
        <w:rPr>
          <w:rFonts w:hint="eastAsia"/>
          <w:sz w:val="32"/>
          <w:szCs w:val="32"/>
        </w:rPr>
        <w:t>2.申请人身份证明材料：</w:t>
      </w:r>
    </w:p>
    <w:p w14:paraId="2345705D">
      <w:pPr>
        <w:spacing w:line="360" w:lineRule="auto"/>
        <w:ind w:firstLine="640" w:firstLineChars="200"/>
        <w:jc w:val="both"/>
        <w:rPr>
          <w:sz w:val="32"/>
          <w:szCs w:val="32"/>
        </w:rPr>
      </w:pPr>
      <w:r>
        <w:rPr>
          <w:rFonts w:hint="eastAsia"/>
          <w:sz w:val="32"/>
          <w:szCs w:val="32"/>
        </w:rPr>
        <w:t>（1）申请人为法人的，应提供含统一社会信用代码的法人登记证，如营业执照等，加盖单位公章，同时提交经办人、业余无线电台负责人和技术负责人身份证复印件，以及业余无线电台技术负责人为本单位工作人员的说明材料；</w:t>
      </w:r>
    </w:p>
    <w:p w14:paraId="39F46266">
      <w:pPr>
        <w:spacing w:line="360" w:lineRule="auto"/>
        <w:ind w:firstLine="640" w:firstLineChars="200"/>
        <w:jc w:val="both"/>
        <w:rPr>
          <w:sz w:val="32"/>
          <w:szCs w:val="32"/>
        </w:rPr>
      </w:pPr>
      <w:r>
        <w:rPr>
          <w:rFonts w:hint="eastAsia"/>
          <w:sz w:val="32"/>
          <w:szCs w:val="32"/>
        </w:rPr>
        <w:t>（2）申请人为个人的，应提交申请人身份证复印件，非上海户籍的个人申请，还应当提供上海长期或临时居住证明复印件；申请人为未成年人的，还应当提交其监护人身份证明复印件，以及申请人与监护人关系的说明材料；</w:t>
      </w:r>
    </w:p>
    <w:p w14:paraId="6F6FA8E3">
      <w:pPr>
        <w:spacing w:line="360" w:lineRule="auto"/>
        <w:ind w:firstLine="640" w:firstLineChars="200"/>
        <w:jc w:val="both"/>
        <w:rPr>
          <w:sz w:val="32"/>
          <w:szCs w:val="32"/>
        </w:rPr>
      </w:pPr>
      <w:r>
        <w:rPr>
          <w:rFonts w:hint="eastAsia"/>
          <w:sz w:val="32"/>
          <w:szCs w:val="32"/>
        </w:rPr>
        <w:t>3.《业余无线电台操作技术能力验证证书》的原件、复印件；</w:t>
      </w:r>
    </w:p>
    <w:p w14:paraId="29AEF165">
      <w:pPr>
        <w:spacing w:line="360" w:lineRule="auto"/>
        <w:ind w:firstLine="640" w:firstLineChars="200"/>
        <w:jc w:val="both"/>
        <w:rPr>
          <w:sz w:val="32"/>
          <w:szCs w:val="32"/>
        </w:rPr>
      </w:pPr>
      <w:r>
        <w:rPr>
          <w:rFonts w:hint="eastAsia"/>
          <w:sz w:val="32"/>
          <w:szCs w:val="32"/>
        </w:rPr>
        <w:t>4.可行性研究报告。包含设台必要性、具体用途、适用范围、技术方案、相关管理制度等内容；</w:t>
      </w:r>
    </w:p>
    <w:p w14:paraId="376F7CF1">
      <w:pPr>
        <w:spacing w:line="360" w:lineRule="auto"/>
        <w:ind w:firstLine="640" w:firstLineChars="200"/>
        <w:jc w:val="both"/>
        <w:rPr>
          <w:sz w:val="32"/>
          <w:szCs w:val="32"/>
        </w:rPr>
      </w:pPr>
      <w:r>
        <w:rPr>
          <w:rFonts w:hint="eastAsia"/>
          <w:sz w:val="32"/>
          <w:szCs w:val="32"/>
        </w:rPr>
        <w:t>5.《关于合法设置使用无线电台（站）的承诺书》；</w:t>
      </w:r>
    </w:p>
    <w:p w14:paraId="4B190DCE">
      <w:pPr>
        <w:spacing w:line="360" w:lineRule="auto"/>
        <w:ind w:firstLine="640" w:firstLineChars="200"/>
        <w:jc w:val="both"/>
        <w:rPr>
          <w:sz w:val="32"/>
          <w:szCs w:val="32"/>
        </w:rPr>
      </w:pPr>
      <w:r>
        <w:rPr>
          <w:rFonts w:hint="eastAsia"/>
          <w:sz w:val="32"/>
          <w:szCs w:val="32"/>
        </w:rPr>
        <w:t>6.使用依法取得型号核准的业余中继台的，申请人可以提交无线电发射设备型号核准证复印件，或提交经打印的包含有型号核准代码、出厂序列号等信息的无线电发射设备照片等材料，证明其使用的无线电发射设备已依法取得型号核准证；</w:t>
      </w:r>
    </w:p>
    <w:p w14:paraId="1B337307">
      <w:pPr>
        <w:spacing w:line="360" w:lineRule="auto"/>
        <w:ind w:firstLine="640" w:firstLineChars="200"/>
        <w:jc w:val="both"/>
        <w:rPr>
          <w:sz w:val="32"/>
          <w:szCs w:val="32"/>
        </w:rPr>
      </w:pPr>
      <w:r>
        <w:rPr>
          <w:rFonts w:hint="eastAsia"/>
          <w:sz w:val="32"/>
          <w:szCs w:val="32"/>
        </w:rPr>
        <w:t>使用自制、改装、拼装等未取得型号核准的业余中继台的，申请人可以提交本市无线电管理机构组织检测并出具的业余中继台技术参数检测合规性证明材料；</w:t>
      </w:r>
    </w:p>
    <w:p w14:paraId="1FD08932">
      <w:pPr>
        <w:spacing w:line="360" w:lineRule="auto"/>
        <w:ind w:firstLine="640" w:firstLineChars="200"/>
        <w:jc w:val="both"/>
        <w:rPr>
          <w:sz w:val="32"/>
          <w:szCs w:val="32"/>
        </w:rPr>
      </w:pPr>
      <w:r>
        <w:rPr>
          <w:rFonts w:hint="eastAsia"/>
          <w:sz w:val="32"/>
          <w:szCs w:val="32"/>
        </w:rPr>
        <w:t>7.业余中继台所使用场地的相关产权证明材料，包括但不限于申请人的不动产权证（包括共有产权证）或场地租赁合同和场地物业所有者、业主委员会知情同意书；</w:t>
      </w:r>
    </w:p>
    <w:p w14:paraId="1E2BF8BD">
      <w:pPr>
        <w:spacing w:line="360" w:lineRule="auto"/>
        <w:ind w:firstLine="640" w:firstLineChars="200"/>
        <w:jc w:val="both"/>
        <w:rPr>
          <w:sz w:val="32"/>
          <w:szCs w:val="32"/>
        </w:rPr>
      </w:pPr>
      <w:r>
        <w:rPr>
          <w:rFonts w:hint="eastAsia"/>
          <w:sz w:val="32"/>
          <w:szCs w:val="32"/>
        </w:rPr>
        <w:t>8.电磁辐射符合国家环境保护相关标准承诺书；</w:t>
      </w:r>
    </w:p>
    <w:p w14:paraId="1B3DF27C">
      <w:pPr>
        <w:pStyle w:val="7"/>
        <w:numPr>
          <w:ilvl w:val="0"/>
          <w:numId w:val="1"/>
        </w:numPr>
        <w:spacing w:beforeAutospacing="0" w:afterAutospacing="0" w:line="360" w:lineRule="auto"/>
        <w:ind w:left="0" w:firstLine="640" w:firstLineChars="200"/>
        <w:jc w:val="both"/>
        <w:rPr>
          <w:sz w:val="32"/>
          <w:szCs w:val="32"/>
        </w:rPr>
      </w:pPr>
      <w:r>
        <w:rPr>
          <w:rFonts w:hint="eastAsia"/>
          <w:sz w:val="32"/>
          <w:szCs w:val="32"/>
        </w:rPr>
        <w:t>本市无线电管理机构依法对申请材料进行审查。</w:t>
      </w:r>
    </w:p>
    <w:p w14:paraId="328C34EC">
      <w:pPr>
        <w:spacing w:line="360" w:lineRule="auto"/>
        <w:ind w:firstLine="640" w:firstLineChars="200"/>
        <w:jc w:val="both"/>
        <w:rPr>
          <w:sz w:val="32"/>
          <w:szCs w:val="32"/>
        </w:rPr>
      </w:pPr>
      <w:r>
        <w:rPr>
          <w:rFonts w:hint="eastAsia"/>
          <w:sz w:val="32"/>
          <w:szCs w:val="32"/>
        </w:rPr>
        <w:t>申请材料不齐全、不符合法定形式的，本市无线电管理机构应当当场或者在5个工作日内一次性告知申请人需要补正的全部内容，逾期不告知的，自收到申请材料之日起即为受理；</w:t>
      </w:r>
    </w:p>
    <w:p w14:paraId="47D70C37">
      <w:pPr>
        <w:spacing w:line="360" w:lineRule="auto"/>
        <w:ind w:firstLine="640" w:firstLineChars="200"/>
        <w:jc w:val="both"/>
        <w:rPr>
          <w:sz w:val="32"/>
          <w:szCs w:val="32"/>
        </w:rPr>
      </w:pPr>
      <w:r>
        <w:rPr>
          <w:rFonts w:hint="eastAsia"/>
          <w:sz w:val="32"/>
          <w:szCs w:val="32"/>
        </w:rPr>
        <w:t>申请材料齐全、符合法定形式的，或者申请人按照要求补正全部申请材料的，应当予以受理，并向申请人出具受理通知书。</w:t>
      </w:r>
    </w:p>
    <w:p w14:paraId="1FFC6297">
      <w:pPr>
        <w:spacing w:line="360" w:lineRule="auto"/>
        <w:ind w:firstLine="640" w:firstLineChars="200"/>
        <w:jc w:val="both"/>
        <w:rPr>
          <w:sz w:val="32"/>
          <w:szCs w:val="32"/>
        </w:rPr>
      </w:pPr>
      <w:r>
        <w:rPr>
          <w:rFonts w:hint="eastAsia"/>
          <w:sz w:val="32"/>
          <w:szCs w:val="32"/>
        </w:rPr>
        <w:t>自受理申请之日起三十个工作日内审查完毕，作出许可或者不予许可的决定。予以许可的，颁发无线电台执照，同时指配业余无线电台呼号；不予许可的，书面通知申请人并说明理由。</w:t>
      </w:r>
    </w:p>
    <w:p w14:paraId="305EEEB5">
      <w:pPr>
        <w:pStyle w:val="7"/>
        <w:numPr>
          <w:ilvl w:val="0"/>
          <w:numId w:val="1"/>
        </w:numPr>
        <w:spacing w:beforeAutospacing="0" w:afterAutospacing="0" w:line="360" w:lineRule="auto"/>
        <w:ind w:left="0" w:firstLine="640" w:firstLineChars="200"/>
        <w:jc w:val="both"/>
        <w:rPr>
          <w:sz w:val="32"/>
          <w:szCs w:val="32"/>
        </w:rPr>
      </w:pPr>
      <w:r>
        <w:rPr>
          <w:rFonts w:hint="eastAsia"/>
          <w:sz w:val="32"/>
          <w:szCs w:val="32"/>
        </w:rPr>
        <w:t>业余中继台执照有效期不超过五年，业余中继台执照有效期届满需要继续使用的，应当在期限届满前30个工作日前，向本市无线电管理机构申请更换无线电台执照。业余中继台提前终止使用的，应当向本市无线电管理机构办理注销手续，交回执照并自执照注销之日起60个工作日内拆除业余无线电台及天线等附属设备并妥善处理。</w:t>
      </w:r>
    </w:p>
    <w:p w14:paraId="44F863E7">
      <w:pPr>
        <w:pStyle w:val="7"/>
        <w:numPr>
          <w:ilvl w:val="0"/>
          <w:numId w:val="1"/>
        </w:numPr>
        <w:spacing w:beforeAutospacing="0" w:afterAutospacing="0" w:line="360" w:lineRule="auto"/>
        <w:ind w:left="0" w:firstLine="640" w:firstLineChars="200"/>
        <w:jc w:val="both"/>
        <w:rPr>
          <w:sz w:val="32"/>
          <w:szCs w:val="32"/>
        </w:rPr>
      </w:pPr>
      <w:r>
        <w:rPr>
          <w:rFonts w:hint="eastAsia"/>
          <w:sz w:val="32"/>
          <w:szCs w:val="32"/>
        </w:rPr>
        <w:t>业余中继台执照应当载明所核定的技术参数和发射设备等信息。需要变更业余中继台执照核定内容的，应当向本市无线电管理机构申请换发业余中继台执照。</w:t>
      </w:r>
    </w:p>
    <w:p w14:paraId="081D8012">
      <w:pPr>
        <w:pStyle w:val="7"/>
        <w:numPr>
          <w:ilvl w:val="0"/>
          <w:numId w:val="1"/>
        </w:numPr>
        <w:spacing w:beforeAutospacing="0" w:afterAutospacing="0" w:line="360" w:lineRule="auto"/>
        <w:ind w:left="0" w:firstLine="640" w:firstLineChars="200"/>
        <w:jc w:val="both"/>
        <w:rPr>
          <w:sz w:val="32"/>
          <w:szCs w:val="32"/>
        </w:rPr>
      </w:pPr>
      <w:r>
        <w:rPr>
          <w:rFonts w:hint="eastAsia"/>
          <w:sz w:val="32"/>
          <w:szCs w:val="32"/>
        </w:rPr>
        <w:t>鼓励本市相关行业协会、社会组织，以资源共享方式，在本市业余中继台区域规划内设置业余中继台。</w:t>
      </w:r>
    </w:p>
    <w:p w14:paraId="6EC6DC46">
      <w:pPr>
        <w:pStyle w:val="7"/>
        <w:numPr>
          <w:ilvl w:val="0"/>
          <w:numId w:val="1"/>
        </w:numPr>
        <w:spacing w:beforeAutospacing="0" w:afterAutospacing="0" w:line="360" w:lineRule="auto"/>
        <w:ind w:left="0" w:firstLine="640" w:firstLineChars="200"/>
        <w:jc w:val="both"/>
        <w:rPr>
          <w:sz w:val="32"/>
          <w:szCs w:val="32"/>
        </w:rPr>
      </w:pPr>
      <w:r>
        <w:rPr>
          <w:rFonts w:hint="eastAsia"/>
          <w:sz w:val="32"/>
          <w:szCs w:val="32"/>
        </w:rPr>
        <w:t>本市业余中继台区域规划内，同一区域不应设置同频段同类型业余中继台，同频复用的业余中继台站址间距须大于最小复用距离。</w:t>
      </w:r>
    </w:p>
    <w:p w14:paraId="5DFD49F0">
      <w:pPr>
        <w:pStyle w:val="7"/>
        <w:spacing w:beforeAutospacing="0" w:afterAutospacing="0" w:line="360" w:lineRule="auto"/>
        <w:ind w:firstLine="640" w:firstLineChars="200"/>
        <w:jc w:val="left"/>
        <w:outlineLvl w:val="0"/>
        <w:rPr>
          <w:rStyle w:val="10"/>
          <w:rFonts w:ascii="黑体" w:hAnsi="黑体" w:eastAsia="黑体" w:cs="仿宋_GB2312"/>
          <w:b w:val="0"/>
          <w:bCs/>
          <w:sz w:val="32"/>
          <w:szCs w:val="32"/>
        </w:rPr>
      </w:pPr>
      <w:r>
        <w:rPr>
          <w:rStyle w:val="10"/>
          <w:rFonts w:hint="eastAsia" w:ascii="黑体" w:hAnsi="黑体" w:eastAsia="黑体" w:cs="仿宋_GB2312"/>
          <w:b w:val="0"/>
          <w:bCs/>
          <w:sz w:val="32"/>
          <w:szCs w:val="32"/>
        </w:rPr>
        <w:t>四、业余中继台的使用要求</w:t>
      </w:r>
    </w:p>
    <w:p w14:paraId="590A543A">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业余中继台经许可设置使用后，应当按照业余无线电台执照上核定的项目进行工作，不得擅自改变频率、天线位置，不得擅自增大发射功率、增加天线高度。</w:t>
      </w:r>
    </w:p>
    <w:p w14:paraId="7C4E1F51">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业余中继台的通信对象应当限于业余无线电台。在突发重大自然灾害等紧急情况下，业余中继台可以转发非业余无线电台通信，但应当及时向本市无线电管理机构报告，其通信内容应当限于与抢险救灾直接相关的紧急事务或者应急救援相关部门交办的任务。</w:t>
      </w:r>
    </w:p>
    <w:p w14:paraId="5C1455FE">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业余中继台应当向其覆盖区域内的所有业余无线电台提供无偿、平等的服务，并将使用业余中继台所需的各项技术参数公开。</w:t>
      </w:r>
    </w:p>
    <w:p w14:paraId="1333DCF3">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业余中继台在通联时应当使用明语及业余无线电领域公认的缩略语和简语，数据文件交换应当使用公开的方式。在业余中继台上试验新的编码、调制方式和数字通信协议等，应当事先公开并向当地无线电管理机构提交相关技术信息。</w:t>
      </w:r>
    </w:p>
    <w:p w14:paraId="47B00A6D">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业余中继台不得接入公用通信端口，未经本市无线电管理机构批准，不得通过业余中继台播放广播或者发射通播性质的信号。</w:t>
      </w:r>
    </w:p>
    <w:p w14:paraId="478CE19F">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业余中继台通信不得发送、接收与业余业务和卫星业余业务无关的信号，不得传播、公布无意接收的非业余业务和卫星业余业务的信息。</w:t>
      </w:r>
    </w:p>
    <w:p w14:paraId="02B86B6E">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使用业余中继台的单位或者个人应当定期维护业余中继台，保证其性能指标符合国家标准和国家无线电管理的有关规定，避免对其他依法设置、使用的无线电台（站）产生有害干扰。</w:t>
      </w:r>
    </w:p>
    <w:p w14:paraId="77FE0631">
      <w:pPr>
        <w:pStyle w:val="7"/>
        <w:numPr>
          <w:ilvl w:val="0"/>
          <w:numId w:val="2"/>
        </w:numPr>
        <w:spacing w:beforeAutospacing="0" w:afterAutospacing="0" w:line="360" w:lineRule="auto"/>
        <w:ind w:left="0" w:firstLine="640" w:firstLineChars="200"/>
        <w:jc w:val="both"/>
        <w:rPr>
          <w:sz w:val="32"/>
          <w:szCs w:val="32"/>
        </w:rPr>
      </w:pPr>
      <w:r>
        <w:rPr>
          <w:rFonts w:hint="eastAsia"/>
          <w:sz w:val="32"/>
          <w:szCs w:val="32"/>
        </w:rPr>
        <w:t>业余中继台应当周期性发送本台呼号，两次发送的时间间隔不得超过十分钟。</w:t>
      </w:r>
    </w:p>
    <w:p w14:paraId="67407E96">
      <w:pPr>
        <w:pStyle w:val="7"/>
        <w:spacing w:beforeAutospacing="0" w:afterAutospacing="0" w:line="360" w:lineRule="auto"/>
        <w:ind w:firstLine="643" w:firstLineChars="200"/>
        <w:jc w:val="left"/>
        <w:outlineLvl w:val="0"/>
        <w:rPr>
          <w:rStyle w:val="10"/>
          <w:rFonts w:ascii="黑体" w:hAnsi="黑体" w:eastAsia="黑体" w:cs="仿宋_GB2312"/>
          <w:sz w:val="32"/>
          <w:szCs w:val="32"/>
        </w:rPr>
      </w:pPr>
      <w:r>
        <w:rPr>
          <w:rStyle w:val="10"/>
          <w:rFonts w:hint="eastAsia" w:ascii="黑体" w:hAnsi="黑体" w:eastAsia="黑体" w:cs="仿宋_GB2312"/>
          <w:sz w:val="32"/>
          <w:szCs w:val="32"/>
        </w:rPr>
        <w:t>五、业余中继台的管理要求</w:t>
      </w:r>
    </w:p>
    <w:p w14:paraId="26085A92">
      <w:pPr>
        <w:pStyle w:val="7"/>
        <w:numPr>
          <w:ilvl w:val="0"/>
          <w:numId w:val="3"/>
        </w:numPr>
        <w:spacing w:beforeAutospacing="0" w:afterAutospacing="0" w:line="360" w:lineRule="auto"/>
        <w:ind w:left="0" w:firstLine="640" w:firstLineChars="200"/>
        <w:jc w:val="both"/>
        <w:rPr>
          <w:sz w:val="32"/>
          <w:szCs w:val="32"/>
        </w:rPr>
      </w:pPr>
      <w:r>
        <w:rPr>
          <w:rFonts w:hint="eastAsia"/>
          <w:sz w:val="32"/>
          <w:szCs w:val="32"/>
        </w:rPr>
        <w:t>本市无线电管理机构应当定期对在用业余中继台进行检查和检测。业余无线电台设置、使用人应当接受并配合检查、检测。</w:t>
      </w:r>
    </w:p>
    <w:p w14:paraId="304529EB">
      <w:pPr>
        <w:pStyle w:val="7"/>
        <w:numPr>
          <w:ilvl w:val="0"/>
          <w:numId w:val="3"/>
        </w:numPr>
        <w:spacing w:beforeAutospacing="0" w:afterAutospacing="0" w:line="360" w:lineRule="auto"/>
        <w:ind w:left="0" w:firstLine="640" w:firstLineChars="200"/>
        <w:jc w:val="both"/>
        <w:rPr>
          <w:sz w:val="32"/>
          <w:szCs w:val="32"/>
        </w:rPr>
      </w:pPr>
      <w:r>
        <w:rPr>
          <w:rFonts w:hint="eastAsia"/>
          <w:sz w:val="32"/>
          <w:szCs w:val="32"/>
        </w:rPr>
        <w:t>业余中继台设置使用主体应当建立业余中继台录音系统，对转发内容进行录音，录音数据应当保留三个月，以备本市无线电管理机构查验。</w:t>
      </w:r>
    </w:p>
    <w:p w14:paraId="6865E5A6">
      <w:pPr>
        <w:pStyle w:val="7"/>
        <w:numPr>
          <w:ilvl w:val="0"/>
          <w:numId w:val="3"/>
        </w:numPr>
        <w:spacing w:beforeAutospacing="0" w:afterAutospacing="0" w:line="360" w:lineRule="auto"/>
        <w:ind w:left="0" w:firstLine="640" w:firstLineChars="200"/>
        <w:jc w:val="both"/>
        <w:rPr>
          <w:sz w:val="32"/>
          <w:szCs w:val="32"/>
        </w:rPr>
      </w:pPr>
      <w:r>
        <w:rPr>
          <w:rFonts w:hint="eastAsia"/>
          <w:sz w:val="32"/>
          <w:szCs w:val="32"/>
        </w:rPr>
        <w:t>业余中继台设置使用主体在使用业余中继台过程中，应当建立监听值班制度，及时处理业余中继台使用过程中出现的异常情况，业余中继台应当具备遥控关闭功能。</w:t>
      </w:r>
    </w:p>
    <w:p w14:paraId="2625FDD8">
      <w:pPr>
        <w:pStyle w:val="7"/>
        <w:numPr>
          <w:ilvl w:val="0"/>
          <w:numId w:val="3"/>
        </w:numPr>
        <w:spacing w:beforeAutospacing="0" w:afterAutospacing="0" w:line="360" w:lineRule="auto"/>
        <w:ind w:left="0" w:firstLine="640" w:firstLineChars="200"/>
        <w:jc w:val="both"/>
        <w:rPr>
          <w:sz w:val="32"/>
          <w:szCs w:val="32"/>
        </w:rPr>
      </w:pPr>
      <w:r>
        <w:rPr>
          <w:rFonts w:hint="eastAsia"/>
          <w:sz w:val="32"/>
          <w:szCs w:val="32"/>
        </w:rPr>
        <w:t>对涉及业余中继台设置、使用的违法违规行为，本市无线电管理机构依照《中华人民共和国无线电管理条例》《业余无线电台管理办法》等相关规定处理，情节严重的，处理结果纳入上海市个人信用信息服务平台。</w:t>
      </w:r>
    </w:p>
    <w:p w14:paraId="1A881E3D">
      <w:pPr>
        <w:pStyle w:val="7"/>
        <w:spacing w:beforeAutospacing="0" w:afterAutospacing="0" w:line="360" w:lineRule="auto"/>
        <w:ind w:firstLine="643" w:firstLineChars="200"/>
        <w:jc w:val="left"/>
        <w:outlineLvl w:val="0"/>
        <w:rPr>
          <w:rStyle w:val="10"/>
          <w:rFonts w:ascii="黑体" w:hAnsi="黑体" w:eastAsia="黑体" w:cs="仿宋_GB2312"/>
          <w:sz w:val="32"/>
          <w:szCs w:val="32"/>
        </w:rPr>
      </w:pPr>
      <w:r>
        <w:rPr>
          <w:rStyle w:val="10"/>
          <w:rFonts w:hint="eastAsia" w:ascii="黑体" w:hAnsi="黑体" w:eastAsia="黑体" w:cs="仿宋_GB2312"/>
          <w:sz w:val="32"/>
          <w:szCs w:val="32"/>
        </w:rPr>
        <w:t>六</w:t>
      </w:r>
      <w:r>
        <w:rPr>
          <w:rStyle w:val="10"/>
          <w:rFonts w:ascii="黑体" w:hAnsi="黑体" w:eastAsia="黑体" w:cs="仿宋_GB2312"/>
          <w:sz w:val="32"/>
          <w:szCs w:val="32"/>
        </w:rPr>
        <w:t>、</w:t>
      </w:r>
      <w:r>
        <w:rPr>
          <w:rStyle w:val="10"/>
          <w:rFonts w:hint="eastAsia" w:ascii="黑体" w:hAnsi="黑体" w:eastAsia="黑体" w:cs="仿宋_GB2312"/>
          <w:sz w:val="32"/>
          <w:szCs w:val="32"/>
        </w:rPr>
        <w:t>其他事项</w:t>
      </w:r>
    </w:p>
    <w:p w14:paraId="72FCCAAC">
      <w:pPr>
        <w:ind w:firstLine="640" w:firstLineChars="200"/>
        <w:jc w:val="both"/>
        <w:rPr>
          <w:rStyle w:val="10"/>
          <w:rFonts w:hAnsi="仿宋_GB2312"/>
          <w:b w:val="0"/>
          <w:sz w:val="32"/>
          <w:szCs w:val="32"/>
        </w:rPr>
      </w:pPr>
      <w:r>
        <w:rPr>
          <w:rStyle w:val="10"/>
          <w:rFonts w:hint="eastAsia" w:hAnsi="仿宋_GB2312"/>
          <w:b w:val="0"/>
          <w:sz w:val="32"/>
          <w:szCs w:val="32"/>
        </w:rPr>
        <w:t>本通知自2026年XX月XX日起施行。本通知发布前，已合法设置、使用的业余中继台可在执照有效期内继续使用，也可按本通知要求办理变更、续期等手续后投入使用。</w:t>
      </w:r>
    </w:p>
    <w:p w14:paraId="66F81162">
      <w:pPr>
        <w:spacing w:line="360" w:lineRule="auto"/>
        <w:ind w:firstLine="643" w:firstLineChars="200"/>
        <w:jc w:val="both"/>
        <w:rPr>
          <w:rStyle w:val="10"/>
          <w:rFonts w:hAnsi="仿宋_GB2312"/>
          <w:sz w:val="32"/>
          <w:szCs w:val="32"/>
        </w:rPr>
      </w:pPr>
    </w:p>
    <w:p w14:paraId="726CC97C">
      <w:pPr>
        <w:spacing w:line="360" w:lineRule="auto"/>
        <w:ind w:firstLine="643" w:firstLineChars="200"/>
        <w:jc w:val="both"/>
        <w:rPr>
          <w:rStyle w:val="10"/>
          <w:rFonts w:hAnsi="仿宋_GB2312"/>
          <w:sz w:val="32"/>
          <w:szCs w:val="32"/>
        </w:rPr>
      </w:pPr>
    </w:p>
    <w:p w14:paraId="35189B34">
      <w:pPr>
        <w:spacing w:line="360" w:lineRule="auto"/>
        <w:ind w:firstLine="640" w:firstLineChars="200"/>
        <w:jc w:val="both"/>
        <w:rPr>
          <w:rFonts w:hAnsi="仿宋_GB2312"/>
          <w:bCs/>
          <w:sz w:val="32"/>
          <w:szCs w:val="32"/>
        </w:rPr>
      </w:pPr>
      <w:r>
        <w:rPr>
          <w:rFonts w:hAnsi="仿宋_GB2312"/>
          <w:bCs/>
          <w:sz w:val="32"/>
          <w:szCs w:val="32"/>
        </w:rPr>
        <w:t>附件：1.</w:t>
      </w:r>
      <w:r>
        <w:rPr>
          <w:rFonts w:hint="eastAsia" w:hAnsi="仿宋_GB2312"/>
          <w:bCs/>
          <w:sz w:val="32"/>
          <w:szCs w:val="32"/>
        </w:rPr>
        <w:t>上海市</w:t>
      </w:r>
      <w:r>
        <w:rPr>
          <w:rFonts w:hAnsi="仿宋_GB2312"/>
          <w:bCs/>
          <w:sz w:val="32"/>
          <w:szCs w:val="32"/>
        </w:rPr>
        <w:t>业余中继台工作频率信道划分</w:t>
      </w:r>
    </w:p>
    <w:p w14:paraId="0C06EA84">
      <w:pPr>
        <w:spacing w:line="360" w:lineRule="auto"/>
        <w:ind w:firstLine="1600" w:firstLineChars="500"/>
        <w:jc w:val="both"/>
        <w:rPr>
          <w:rFonts w:hAnsi="仿宋_GB2312"/>
          <w:bCs/>
          <w:sz w:val="32"/>
          <w:szCs w:val="32"/>
        </w:rPr>
      </w:pPr>
      <w:r>
        <w:rPr>
          <w:rFonts w:hAnsi="仿宋_GB2312"/>
          <w:bCs/>
          <w:sz w:val="32"/>
          <w:szCs w:val="32"/>
        </w:rPr>
        <w:t>2.</w:t>
      </w:r>
      <w:r>
        <w:rPr>
          <w:rFonts w:hint="eastAsia" w:hAnsi="仿宋_GB2312"/>
          <w:bCs/>
          <w:sz w:val="32"/>
          <w:szCs w:val="32"/>
        </w:rPr>
        <w:t>上海市业余中继台区域规划（参考）</w:t>
      </w:r>
    </w:p>
    <w:p w14:paraId="005F8E84">
      <w:pPr>
        <w:spacing w:line="360" w:lineRule="auto"/>
        <w:ind w:firstLine="640" w:firstLineChars="200"/>
        <w:jc w:val="both"/>
        <w:rPr>
          <w:rFonts w:hAnsi="仿宋_GB2312"/>
          <w:bCs/>
          <w:sz w:val="32"/>
          <w:szCs w:val="32"/>
        </w:rPr>
      </w:pPr>
    </w:p>
    <w:p w14:paraId="6CEB1925">
      <w:pPr>
        <w:spacing w:line="360" w:lineRule="auto"/>
        <w:ind w:firstLine="640" w:firstLineChars="200"/>
        <w:jc w:val="both"/>
        <w:rPr>
          <w:rFonts w:hAnsi="仿宋_GB2312"/>
          <w:bCs/>
          <w:sz w:val="32"/>
          <w:szCs w:val="32"/>
        </w:rPr>
      </w:pPr>
    </w:p>
    <w:p w14:paraId="6BAA1B70">
      <w:pPr>
        <w:spacing w:line="360" w:lineRule="auto"/>
        <w:ind w:firstLine="640" w:firstLineChars="200"/>
        <w:jc w:val="right"/>
        <w:rPr>
          <w:rFonts w:hAnsi="仿宋_GB2312"/>
          <w:bCs/>
          <w:sz w:val="32"/>
          <w:szCs w:val="32"/>
        </w:rPr>
      </w:pPr>
      <w:r>
        <w:rPr>
          <w:rFonts w:hint="eastAsia" w:hAnsi="仿宋_GB2312"/>
          <w:bCs/>
          <w:sz w:val="32"/>
          <w:szCs w:val="32"/>
        </w:rPr>
        <w:t>上海市</w:t>
      </w:r>
      <w:r>
        <w:rPr>
          <w:rFonts w:hAnsi="仿宋_GB2312"/>
          <w:bCs/>
          <w:sz w:val="32"/>
          <w:szCs w:val="32"/>
        </w:rPr>
        <w:t>经济和信息化</w:t>
      </w:r>
      <w:r>
        <w:rPr>
          <w:rFonts w:hint="eastAsia" w:hAnsi="仿宋_GB2312"/>
          <w:bCs/>
          <w:sz w:val="32"/>
          <w:szCs w:val="32"/>
        </w:rPr>
        <w:t>委员会</w:t>
      </w:r>
    </w:p>
    <w:p w14:paraId="77EB8EAC">
      <w:pPr>
        <w:wordWrap w:val="0"/>
        <w:spacing w:line="360" w:lineRule="auto"/>
        <w:ind w:firstLine="640" w:firstLineChars="200"/>
        <w:jc w:val="right"/>
        <w:rPr>
          <w:rFonts w:hAnsi="仿宋_GB2312"/>
          <w:bCs/>
          <w:sz w:val="32"/>
          <w:szCs w:val="32"/>
        </w:rPr>
      </w:pPr>
      <w:r>
        <w:rPr>
          <w:rFonts w:hAnsi="仿宋_GB2312"/>
          <w:bCs/>
          <w:sz w:val="32"/>
          <w:szCs w:val="32"/>
        </w:rPr>
        <w:t>202</w:t>
      </w:r>
      <w:r>
        <w:rPr>
          <w:rFonts w:hint="eastAsia" w:hAnsi="仿宋_GB2312"/>
          <w:bCs/>
          <w:sz w:val="32"/>
          <w:szCs w:val="32"/>
        </w:rPr>
        <w:t>6</w:t>
      </w:r>
      <w:r>
        <w:rPr>
          <w:rFonts w:hAnsi="仿宋_GB2312"/>
          <w:bCs/>
          <w:sz w:val="32"/>
          <w:szCs w:val="32"/>
        </w:rPr>
        <w:t>年</w:t>
      </w:r>
      <w:r>
        <w:rPr>
          <w:rFonts w:hint="eastAsia" w:hAnsi="仿宋_GB2312"/>
          <w:bCs/>
          <w:sz w:val="32"/>
          <w:szCs w:val="32"/>
        </w:rPr>
        <w:t>XX</w:t>
      </w:r>
      <w:r>
        <w:rPr>
          <w:rFonts w:hAnsi="仿宋_GB2312"/>
          <w:bCs/>
          <w:sz w:val="32"/>
          <w:szCs w:val="32"/>
        </w:rPr>
        <w:t>月</w:t>
      </w:r>
      <w:r>
        <w:rPr>
          <w:rFonts w:hint="eastAsia" w:hAnsi="仿宋_GB2312"/>
          <w:bCs/>
          <w:sz w:val="32"/>
          <w:szCs w:val="32"/>
        </w:rPr>
        <w:t>XX</w:t>
      </w:r>
      <w:r>
        <w:rPr>
          <w:rFonts w:hAnsi="仿宋_GB2312"/>
          <w:bCs/>
          <w:sz w:val="32"/>
          <w:szCs w:val="32"/>
        </w:rPr>
        <w:t>日</w:t>
      </w:r>
      <w:r>
        <w:rPr>
          <w:rFonts w:hint="eastAsia" w:hAnsi="仿宋_GB2312"/>
          <w:bCs/>
          <w:sz w:val="32"/>
          <w:szCs w:val="32"/>
        </w:rPr>
        <w:t xml:space="preserve">   </w:t>
      </w:r>
    </w:p>
    <w:p w14:paraId="55BFC1D4">
      <w:pPr>
        <w:ind w:firstLine="420"/>
        <w:rPr>
          <w:bCs/>
        </w:rPr>
      </w:pPr>
      <w:r>
        <w:rPr>
          <w:bCs/>
        </w:rPr>
        <w:br w:type="page"/>
      </w:r>
    </w:p>
    <w:p w14:paraId="387BCB11">
      <w:pPr>
        <w:ind w:firstLine="420"/>
        <w:rPr>
          <w:bCs/>
        </w:rPr>
        <w:sectPr>
          <w:footerReference r:id="rId3" w:type="default"/>
          <w:pgSz w:w="11906" w:h="16838"/>
          <w:pgMar w:top="1440" w:right="1800" w:bottom="1440" w:left="1800" w:header="851" w:footer="992" w:gutter="0"/>
          <w:cols w:space="425" w:num="1"/>
          <w:docGrid w:type="lines" w:linePitch="312" w:charSpace="0"/>
        </w:sectPr>
      </w:pPr>
    </w:p>
    <w:p w14:paraId="61E4506C">
      <w:pPr>
        <w:pStyle w:val="7"/>
        <w:spacing w:beforeAutospacing="0" w:afterAutospacing="0" w:line="360" w:lineRule="auto"/>
        <w:ind w:firstLine="640"/>
        <w:jc w:val="left"/>
        <w:outlineLvl w:val="0"/>
        <w:rPr>
          <w:rStyle w:val="10"/>
          <w:rFonts w:hAnsi="仿宋_GB2312" w:cs="仿宋_GB2312"/>
          <w:sz w:val="32"/>
          <w:szCs w:val="32"/>
        </w:rPr>
      </w:pPr>
      <w:r>
        <w:rPr>
          <w:rStyle w:val="10"/>
          <w:rFonts w:hint="eastAsia" w:ascii="黑体" w:hAnsi="黑体" w:eastAsia="黑体" w:cs="仿宋_GB2312"/>
          <w:b w:val="0"/>
          <w:bCs/>
          <w:sz w:val="32"/>
          <w:szCs w:val="32"/>
        </w:rPr>
        <w:t>附件</w:t>
      </w:r>
      <w:r>
        <w:rPr>
          <w:rStyle w:val="10"/>
          <w:rFonts w:ascii="黑体" w:hAnsi="黑体" w:eastAsia="黑体" w:cs="仿宋_GB2312"/>
          <w:b w:val="0"/>
          <w:bCs/>
          <w:sz w:val="32"/>
          <w:szCs w:val="32"/>
        </w:rPr>
        <w:t>1</w:t>
      </w:r>
      <w:r>
        <w:rPr>
          <w:rStyle w:val="10"/>
          <w:rFonts w:hAnsi="仿宋_GB2312" w:cs="仿宋_GB2312"/>
          <w:sz w:val="32"/>
          <w:szCs w:val="32"/>
        </w:rPr>
        <w:t xml:space="preserve"> </w:t>
      </w:r>
    </w:p>
    <w:p w14:paraId="002A17FB">
      <w:pPr>
        <w:pStyle w:val="7"/>
        <w:spacing w:beforeAutospacing="0" w:afterAutospacing="0" w:line="360" w:lineRule="auto"/>
        <w:outlineLvl w:val="0"/>
        <w:rPr>
          <w:rStyle w:val="10"/>
          <w:rFonts w:ascii="方正小标宋_GBK" w:hAnsi="仿宋_GB2312" w:eastAsia="方正小标宋_GBK" w:cs="仿宋_GB2312"/>
          <w:b w:val="0"/>
          <w:bCs/>
          <w:sz w:val="44"/>
          <w:szCs w:val="44"/>
        </w:rPr>
      </w:pPr>
      <w:r>
        <w:rPr>
          <w:rFonts w:hint="eastAsia" w:ascii="方正小标宋_GBK" w:hAnsi="仿宋_GB2312" w:eastAsia="方正小标宋_GBK"/>
          <w:bCs/>
          <w:sz w:val="44"/>
          <w:szCs w:val="44"/>
        </w:rPr>
        <w:t>上海市</w:t>
      </w:r>
      <w:r>
        <w:rPr>
          <w:rStyle w:val="10"/>
          <w:rFonts w:hint="eastAsia" w:ascii="方正小标宋_GBK" w:hAnsi="仿宋_GB2312" w:eastAsia="方正小标宋_GBK" w:cs="仿宋_GB2312"/>
          <w:b w:val="0"/>
          <w:bCs/>
          <w:sz w:val="44"/>
          <w:szCs w:val="44"/>
        </w:rPr>
        <w:t>业余中继台工作频率信道划分</w:t>
      </w:r>
    </w:p>
    <w:p w14:paraId="43183174">
      <w:pPr>
        <w:ind w:firstLine="420"/>
        <w:rPr>
          <w:rFonts w:hAnsiTheme="minorEastAsia"/>
        </w:rPr>
      </w:pP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138"/>
        <w:gridCol w:w="1140"/>
        <w:gridCol w:w="1138"/>
        <w:gridCol w:w="1140"/>
        <w:gridCol w:w="1138"/>
        <w:gridCol w:w="1140"/>
        <w:gridCol w:w="1225"/>
      </w:tblGrid>
      <w:tr w14:paraId="78CB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vMerge w:val="restart"/>
            <w:noWrap/>
            <w:vAlign w:val="center"/>
          </w:tcPr>
          <w:p w14:paraId="525F980A">
            <w:r>
              <w:rPr>
                <w:rFonts w:hint="eastAsia"/>
              </w:rPr>
              <w:t>组号</w:t>
            </w:r>
          </w:p>
        </w:tc>
        <w:tc>
          <w:tcPr>
            <w:tcW w:w="1257" w:type="pct"/>
            <w:gridSpan w:val="2"/>
            <w:noWrap/>
            <w:vAlign w:val="center"/>
          </w:tcPr>
          <w:p w14:paraId="38589FC9">
            <w:r>
              <w:rPr>
                <w:rFonts w:hint="eastAsia"/>
              </w:rPr>
              <w:t>中心频率（M</w:t>
            </w:r>
            <w:r>
              <w:t>H</w:t>
            </w:r>
            <w:r>
              <w:rPr>
                <w:rFonts w:hint="eastAsia"/>
              </w:rPr>
              <w:t>z）</w:t>
            </w:r>
          </w:p>
        </w:tc>
        <w:tc>
          <w:tcPr>
            <w:tcW w:w="1257" w:type="pct"/>
            <w:gridSpan w:val="2"/>
            <w:vAlign w:val="center"/>
          </w:tcPr>
          <w:p w14:paraId="3AF6A7EE">
            <w:r>
              <w:rPr>
                <w:rFonts w:hint="eastAsia"/>
              </w:rPr>
              <w:t>中心频率（MHz）</w:t>
            </w:r>
          </w:p>
        </w:tc>
        <w:tc>
          <w:tcPr>
            <w:tcW w:w="1257" w:type="pct"/>
            <w:gridSpan w:val="2"/>
            <w:vAlign w:val="center"/>
          </w:tcPr>
          <w:p w14:paraId="23951AFF">
            <w:r>
              <w:rPr>
                <w:rFonts w:hint="eastAsia"/>
              </w:rPr>
              <w:t>中心频率（MHz）</w:t>
            </w:r>
          </w:p>
        </w:tc>
        <w:tc>
          <w:tcPr>
            <w:tcW w:w="676" w:type="pct"/>
            <w:vMerge w:val="restart"/>
            <w:vAlign w:val="center"/>
          </w:tcPr>
          <w:p w14:paraId="2A3971B2">
            <w:r>
              <w:rPr>
                <w:rFonts w:hint="eastAsia"/>
              </w:rPr>
              <w:t>频差（MHz）</w:t>
            </w:r>
          </w:p>
        </w:tc>
      </w:tr>
      <w:tr w14:paraId="7B92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vMerge w:val="continue"/>
            <w:noWrap/>
            <w:vAlign w:val="center"/>
          </w:tcPr>
          <w:p w14:paraId="2FB96928"/>
        </w:tc>
        <w:tc>
          <w:tcPr>
            <w:tcW w:w="628" w:type="pct"/>
            <w:noWrap/>
            <w:vAlign w:val="center"/>
          </w:tcPr>
          <w:p w14:paraId="7703EAA3">
            <w:r>
              <w:rPr>
                <w:rFonts w:hint="eastAsia"/>
              </w:rPr>
              <w:t>下行</w:t>
            </w:r>
          </w:p>
        </w:tc>
        <w:tc>
          <w:tcPr>
            <w:tcW w:w="629" w:type="pct"/>
            <w:vAlign w:val="center"/>
          </w:tcPr>
          <w:p w14:paraId="6C4D5783">
            <w:r>
              <w:rPr>
                <w:rFonts w:hint="eastAsia"/>
              </w:rPr>
              <w:t>上行</w:t>
            </w:r>
          </w:p>
        </w:tc>
        <w:tc>
          <w:tcPr>
            <w:tcW w:w="628" w:type="pct"/>
            <w:vAlign w:val="center"/>
          </w:tcPr>
          <w:p w14:paraId="6E2336CC">
            <w:r>
              <w:rPr>
                <w:rFonts w:hint="eastAsia"/>
              </w:rPr>
              <w:t>下行</w:t>
            </w:r>
          </w:p>
        </w:tc>
        <w:tc>
          <w:tcPr>
            <w:tcW w:w="629" w:type="pct"/>
            <w:vAlign w:val="center"/>
          </w:tcPr>
          <w:p w14:paraId="57FA13D6">
            <w:r>
              <w:rPr>
                <w:rFonts w:hint="eastAsia"/>
              </w:rPr>
              <w:t>上行</w:t>
            </w:r>
          </w:p>
        </w:tc>
        <w:tc>
          <w:tcPr>
            <w:tcW w:w="628" w:type="pct"/>
            <w:vAlign w:val="center"/>
          </w:tcPr>
          <w:p w14:paraId="2FD7EFF4">
            <w:r>
              <w:rPr>
                <w:rFonts w:hint="eastAsia"/>
              </w:rPr>
              <w:t>下行</w:t>
            </w:r>
          </w:p>
        </w:tc>
        <w:tc>
          <w:tcPr>
            <w:tcW w:w="629" w:type="pct"/>
            <w:vAlign w:val="center"/>
          </w:tcPr>
          <w:p w14:paraId="0A1D3D1C">
            <w:r>
              <w:rPr>
                <w:rFonts w:hint="eastAsia"/>
              </w:rPr>
              <w:t>上行</w:t>
            </w:r>
          </w:p>
        </w:tc>
        <w:tc>
          <w:tcPr>
            <w:tcW w:w="676" w:type="pct"/>
            <w:vMerge w:val="continue"/>
            <w:vAlign w:val="center"/>
          </w:tcPr>
          <w:p w14:paraId="1EBE0A01"/>
        </w:tc>
      </w:tr>
      <w:tr w14:paraId="1A7B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noWrap/>
            <w:vAlign w:val="center"/>
          </w:tcPr>
          <w:p w14:paraId="40AAF5FD">
            <w:r>
              <w:rPr>
                <w:rFonts w:hint="eastAsia"/>
              </w:rPr>
              <w:t>第1组</w:t>
            </w:r>
          </w:p>
        </w:tc>
        <w:tc>
          <w:tcPr>
            <w:tcW w:w="628" w:type="pct"/>
            <w:vAlign w:val="center"/>
          </w:tcPr>
          <w:p w14:paraId="79ABC858">
            <w:r>
              <w:rPr>
                <w:rFonts w:hint="eastAsia"/>
              </w:rPr>
              <w:t>145.0125</w:t>
            </w:r>
          </w:p>
        </w:tc>
        <w:tc>
          <w:tcPr>
            <w:tcW w:w="629" w:type="pct"/>
            <w:vAlign w:val="center"/>
          </w:tcPr>
          <w:p w14:paraId="4E31C537">
            <w:r>
              <w:rPr>
                <w:rFonts w:hint="eastAsia"/>
              </w:rPr>
              <w:t>14</w:t>
            </w:r>
            <w:r>
              <w:t>4</w:t>
            </w:r>
            <w:r>
              <w:rPr>
                <w:rFonts w:hint="eastAsia"/>
              </w:rPr>
              <w:t>.</w:t>
            </w:r>
            <w:r>
              <w:t>4</w:t>
            </w:r>
            <w:r>
              <w:rPr>
                <w:rFonts w:hint="eastAsia"/>
              </w:rPr>
              <w:t>125</w:t>
            </w:r>
          </w:p>
        </w:tc>
        <w:tc>
          <w:tcPr>
            <w:tcW w:w="628" w:type="pct"/>
            <w:vAlign w:val="center"/>
          </w:tcPr>
          <w:p w14:paraId="6667A286">
            <w:r>
              <w:rPr>
                <w:rFonts w:hint="eastAsia"/>
              </w:rPr>
              <w:t>145.6625</w:t>
            </w:r>
          </w:p>
        </w:tc>
        <w:tc>
          <w:tcPr>
            <w:tcW w:w="629" w:type="pct"/>
            <w:vAlign w:val="center"/>
          </w:tcPr>
          <w:p w14:paraId="30D2DCD3">
            <w:r>
              <w:t>145.0625</w:t>
            </w:r>
          </w:p>
        </w:tc>
        <w:tc>
          <w:tcPr>
            <w:tcW w:w="628" w:type="pct"/>
            <w:vAlign w:val="center"/>
          </w:tcPr>
          <w:p w14:paraId="246E64F1">
            <w:r>
              <w:rPr>
                <w:rFonts w:hint="eastAsia"/>
              </w:rPr>
              <w:t>145.7125</w:t>
            </w:r>
          </w:p>
        </w:tc>
        <w:tc>
          <w:tcPr>
            <w:tcW w:w="629" w:type="pct"/>
            <w:vAlign w:val="center"/>
          </w:tcPr>
          <w:p w14:paraId="3A2346AC">
            <w:r>
              <w:t>145.1125</w:t>
            </w:r>
          </w:p>
        </w:tc>
        <w:tc>
          <w:tcPr>
            <w:tcW w:w="676" w:type="pct"/>
            <w:vAlign w:val="center"/>
          </w:tcPr>
          <w:p w14:paraId="765AF525">
            <w:r>
              <w:rPr>
                <w:rFonts w:hint="eastAsia"/>
              </w:rPr>
              <w:t>0.6</w:t>
            </w:r>
          </w:p>
        </w:tc>
      </w:tr>
      <w:tr w14:paraId="6A31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vAlign w:val="center"/>
          </w:tcPr>
          <w:p w14:paraId="0F6817EF">
            <w:r>
              <w:rPr>
                <w:rFonts w:hint="eastAsia"/>
              </w:rPr>
              <w:t>第2组</w:t>
            </w:r>
          </w:p>
        </w:tc>
        <w:tc>
          <w:tcPr>
            <w:tcW w:w="628" w:type="pct"/>
            <w:vAlign w:val="center"/>
          </w:tcPr>
          <w:p w14:paraId="276AD6D6">
            <w:r>
              <w:rPr>
                <w:rFonts w:hint="eastAsia"/>
              </w:rPr>
              <w:t>145.7625</w:t>
            </w:r>
          </w:p>
        </w:tc>
        <w:tc>
          <w:tcPr>
            <w:tcW w:w="629" w:type="pct"/>
            <w:vAlign w:val="center"/>
          </w:tcPr>
          <w:p w14:paraId="48C08D42">
            <w:r>
              <w:t>145.1625</w:t>
            </w:r>
          </w:p>
        </w:tc>
        <w:tc>
          <w:tcPr>
            <w:tcW w:w="628" w:type="pct"/>
            <w:vAlign w:val="center"/>
          </w:tcPr>
          <w:p w14:paraId="1DF7FBB0">
            <w:r>
              <w:rPr>
                <w:rFonts w:hint="eastAsia"/>
              </w:rPr>
              <w:t>145.8625</w:t>
            </w:r>
          </w:p>
        </w:tc>
        <w:tc>
          <w:tcPr>
            <w:tcW w:w="629" w:type="pct"/>
            <w:vAlign w:val="center"/>
          </w:tcPr>
          <w:p w14:paraId="4D7F5931">
            <w:r>
              <w:t>145.2625</w:t>
            </w:r>
          </w:p>
        </w:tc>
        <w:tc>
          <w:tcPr>
            <w:tcW w:w="628" w:type="pct"/>
            <w:vAlign w:val="center"/>
          </w:tcPr>
          <w:p w14:paraId="298D86DE">
            <w:r>
              <w:rPr>
                <w:rFonts w:hint="eastAsia"/>
              </w:rPr>
              <w:t>145.9500</w:t>
            </w:r>
          </w:p>
        </w:tc>
        <w:tc>
          <w:tcPr>
            <w:tcW w:w="629" w:type="pct"/>
            <w:vAlign w:val="center"/>
          </w:tcPr>
          <w:p w14:paraId="357BB2DD">
            <w:r>
              <w:t>145.3500</w:t>
            </w:r>
          </w:p>
        </w:tc>
        <w:tc>
          <w:tcPr>
            <w:tcW w:w="676" w:type="pct"/>
            <w:vAlign w:val="center"/>
          </w:tcPr>
          <w:p w14:paraId="6589954F">
            <w:r>
              <w:rPr>
                <w:rFonts w:hint="eastAsia"/>
              </w:rPr>
              <w:t>0.6</w:t>
            </w:r>
          </w:p>
        </w:tc>
      </w:tr>
      <w:tr w14:paraId="08F5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vAlign w:val="center"/>
          </w:tcPr>
          <w:p w14:paraId="186DBCB3">
            <w:r>
              <w:rPr>
                <w:rFonts w:hint="eastAsia"/>
              </w:rPr>
              <w:t>第3组</w:t>
            </w:r>
          </w:p>
        </w:tc>
        <w:tc>
          <w:tcPr>
            <w:tcW w:w="628" w:type="pct"/>
            <w:vAlign w:val="center"/>
          </w:tcPr>
          <w:p w14:paraId="44ECD38D">
            <w:r>
              <w:rPr>
                <w:rFonts w:hint="eastAsia"/>
              </w:rPr>
              <w:t>145.6375</w:t>
            </w:r>
          </w:p>
        </w:tc>
        <w:tc>
          <w:tcPr>
            <w:tcW w:w="629" w:type="pct"/>
            <w:vAlign w:val="center"/>
          </w:tcPr>
          <w:p w14:paraId="4C7CAEB9">
            <w:r>
              <w:t>145.0375</w:t>
            </w:r>
          </w:p>
        </w:tc>
        <w:tc>
          <w:tcPr>
            <w:tcW w:w="628" w:type="pct"/>
            <w:vAlign w:val="center"/>
          </w:tcPr>
          <w:p w14:paraId="6647DBA0">
            <w:r>
              <w:rPr>
                <w:rFonts w:hint="eastAsia"/>
              </w:rPr>
              <w:t>145.6875</w:t>
            </w:r>
          </w:p>
        </w:tc>
        <w:tc>
          <w:tcPr>
            <w:tcW w:w="629" w:type="pct"/>
            <w:vAlign w:val="center"/>
          </w:tcPr>
          <w:p w14:paraId="6DC182F5">
            <w:r>
              <w:t>145.0875</w:t>
            </w:r>
          </w:p>
        </w:tc>
        <w:tc>
          <w:tcPr>
            <w:tcW w:w="628" w:type="pct"/>
            <w:vAlign w:val="center"/>
          </w:tcPr>
          <w:p w14:paraId="33C9D82E">
            <w:r>
              <w:rPr>
                <w:rFonts w:hint="eastAsia"/>
              </w:rPr>
              <w:t>145.7375</w:t>
            </w:r>
          </w:p>
        </w:tc>
        <w:tc>
          <w:tcPr>
            <w:tcW w:w="629" w:type="pct"/>
            <w:vAlign w:val="center"/>
          </w:tcPr>
          <w:p w14:paraId="61773B32">
            <w:r>
              <w:t>145.1375</w:t>
            </w:r>
          </w:p>
        </w:tc>
        <w:tc>
          <w:tcPr>
            <w:tcW w:w="676" w:type="pct"/>
            <w:vAlign w:val="center"/>
          </w:tcPr>
          <w:p w14:paraId="3626C8E1">
            <w:r>
              <w:rPr>
                <w:rFonts w:hint="eastAsia"/>
              </w:rPr>
              <w:t>0.6</w:t>
            </w:r>
          </w:p>
        </w:tc>
      </w:tr>
      <w:tr w14:paraId="150C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vAlign w:val="center"/>
          </w:tcPr>
          <w:p w14:paraId="3ED1E0ED">
            <w:r>
              <w:rPr>
                <w:rFonts w:hint="eastAsia"/>
              </w:rPr>
              <w:t>第4组</w:t>
            </w:r>
          </w:p>
        </w:tc>
        <w:tc>
          <w:tcPr>
            <w:tcW w:w="628" w:type="pct"/>
            <w:vAlign w:val="center"/>
          </w:tcPr>
          <w:p w14:paraId="14AEBBB1">
            <w:r>
              <w:rPr>
                <w:rFonts w:hint="eastAsia"/>
              </w:rPr>
              <w:t>145.5750</w:t>
            </w:r>
          </w:p>
        </w:tc>
        <w:tc>
          <w:tcPr>
            <w:tcW w:w="629" w:type="pct"/>
            <w:vAlign w:val="center"/>
          </w:tcPr>
          <w:p w14:paraId="0E6335BE">
            <w:r>
              <w:t>144.5750</w:t>
            </w:r>
          </w:p>
        </w:tc>
        <w:tc>
          <w:tcPr>
            <w:tcW w:w="628" w:type="pct"/>
            <w:vAlign w:val="center"/>
          </w:tcPr>
          <w:p w14:paraId="0F117598">
            <w:r>
              <w:rPr>
                <w:rFonts w:hint="eastAsia"/>
              </w:rPr>
              <w:t>145.6250</w:t>
            </w:r>
          </w:p>
        </w:tc>
        <w:tc>
          <w:tcPr>
            <w:tcW w:w="629" w:type="pct"/>
            <w:vAlign w:val="center"/>
          </w:tcPr>
          <w:p w14:paraId="2BD90B35">
            <w:r>
              <w:t>144.6250</w:t>
            </w:r>
          </w:p>
        </w:tc>
        <w:tc>
          <w:tcPr>
            <w:tcW w:w="628" w:type="pct"/>
            <w:vAlign w:val="center"/>
          </w:tcPr>
          <w:p w14:paraId="408FB291">
            <w:r>
              <w:rPr>
                <w:rFonts w:hint="eastAsia"/>
              </w:rPr>
              <w:t>145.6750</w:t>
            </w:r>
          </w:p>
        </w:tc>
        <w:tc>
          <w:tcPr>
            <w:tcW w:w="629" w:type="pct"/>
            <w:vAlign w:val="center"/>
          </w:tcPr>
          <w:p w14:paraId="63C234FF">
            <w:r>
              <w:t>144.6750</w:t>
            </w:r>
          </w:p>
        </w:tc>
        <w:tc>
          <w:tcPr>
            <w:tcW w:w="676" w:type="pct"/>
            <w:vAlign w:val="center"/>
          </w:tcPr>
          <w:p w14:paraId="2C78100D">
            <w:r>
              <w:rPr>
                <w:rFonts w:hint="eastAsia"/>
              </w:rPr>
              <w:t>1</w:t>
            </w:r>
          </w:p>
        </w:tc>
      </w:tr>
      <w:tr w14:paraId="3C67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vAlign w:val="center"/>
          </w:tcPr>
          <w:p w14:paraId="1DBFCA6E">
            <w:r>
              <w:rPr>
                <w:rFonts w:hint="eastAsia"/>
              </w:rPr>
              <w:t>第5组</w:t>
            </w:r>
          </w:p>
        </w:tc>
        <w:tc>
          <w:tcPr>
            <w:tcW w:w="628" w:type="pct"/>
            <w:vAlign w:val="center"/>
          </w:tcPr>
          <w:p w14:paraId="61C59C99">
            <w:r>
              <w:rPr>
                <w:rFonts w:hint="eastAsia"/>
              </w:rPr>
              <w:t>145.7250</w:t>
            </w:r>
          </w:p>
        </w:tc>
        <w:tc>
          <w:tcPr>
            <w:tcW w:w="629" w:type="pct"/>
            <w:vAlign w:val="center"/>
          </w:tcPr>
          <w:p w14:paraId="75159416">
            <w:r>
              <w:t>144.7250</w:t>
            </w:r>
          </w:p>
        </w:tc>
        <w:tc>
          <w:tcPr>
            <w:tcW w:w="628" w:type="pct"/>
            <w:vAlign w:val="center"/>
          </w:tcPr>
          <w:p w14:paraId="57DF0F85">
            <w:r>
              <w:rPr>
                <w:rFonts w:hint="eastAsia"/>
              </w:rPr>
              <w:t>145.7500</w:t>
            </w:r>
          </w:p>
        </w:tc>
        <w:tc>
          <w:tcPr>
            <w:tcW w:w="629" w:type="pct"/>
            <w:vAlign w:val="center"/>
          </w:tcPr>
          <w:p w14:paraId="23634127">
            <w:r>
              <w:t>144.7500</w:t>
            </w:r>
          </w:p>
        </w:tc>
        <w:tc>
          <w:tcPr>
            <w:tcW w:w="628" w:type="pct"/>
            <w:vAlign w:val="center"/>
          </w:tcPr>
          <w:p w14:paraId="31C734DC">
            <w:r>
              <w:rPr>
                <w:rFonts w:hint="eastAsia"/>
              </w:rPr>
              <w:t>145.7750</w:t>
            </w:r>
          </w:p>
        </w:tc>
        <w:tc>
          <w:tcPr>
            <w:tcW w:w="629" w:type="pct"/>
            <w:vAlign w:val="center"/>
          </w:tcPr>
          <w:p w14:paraId="42439E89">
            <w:r>
              <w:t>144.7750</w:t>
            </w:r>
          </w:p>
        </w:tc>
        <w:tc>
          <w:tcPr>
            <w:tcW w:w="676" w:type="pct"/>
            <w:vAlign w:val="center"/>
          </w:tcPr>
          <w:p w14:paraId="3725B39B">
            <w:r>
              <w:rPr>
                <w:rFonts w:hint="eastAsia"/>
              </w:rPr>
              <w:t>1</w:t>
            </w:r>
          </w:p>
        </w:tc>
      </w:tr>
    </w:tbl>
    <w:p w14:paraId="7CD0018C">
      <w:pPr>
        <w:ind w:firstLine="420"/>
        <w:jc w:val="left"/>
        <w:rPr>
          <w:rFonts w:hAnsiTheme="minorEastAsia"/>
        </w:rPr>
      </w:pPr>
      <w:r>
        <w:rPr>
          <w:rFonts w:hint="eastAsia" w:hAnsiTheme="minorEastAsia"/>
        </w:rPr>
        <w:t>注：</w:t>
      </w:r>
      <w:r>
        <w:rPr>
          <w:rFonts w:hAnsiTheme="minorEastAsia"/>
        </w:rPr>
        <w:t>145.0125/144.4125MHz预留为</w:t>
      </w:r>
      <w:r>
        <w:rPr>
          <w:rFonts w:hint="eastAsia" w:hAnsiTheme="minorEastAsia"/>
        </w:rPr>
        <w:t>本市</w:t>
      </w:r>
      <w:r>
        <w:rPr>
          <w:rFonts w:hAnsiTheme="minorEastAsia"/>
        </w:rPr>
        <w:t>应急中继频率。</w:t>
      </w:r>
    </w:p>
    <w:p w14:paraId="7A1087C0">
      <w:pPr>
        <w:ind w:firstLine="420"/>
      </w:pPr>
    </w:p>
    <w:p w14:paraId="6734BCF2">
      <w:pPr>
        <w:ind w:firstLine="420"/>
      </w:pPr>
    </w:p>
    <w:p w14:paraId="6D4174D7">
      <w:pPr>
        <w:ind w:firstLine="420"/>
      </w:pPr>
    </w:p>
    <w:p w14:paraId="032C4FA6">
      <w:pPr>
        <w:ind w:firstLine="420"/>
        <w:sectPr>
          <w:footerReference r:id="rId4" w:type="default"/>
          <w:pgSz w:w="11906" w:h="16838"/>
          <w:pgMar w:top="2098" w:right="1531" w:bottom="1984" w:left="1531" w:header="851" w:footer="992" w:gutter="0"/>
          <w:cols w:space="425" w:num="1"/>
          <w:docGrid w:type="lines" w:linePitch="312" w:charSpace="0"/>
        </w:sectPr>
      </w:pPr>
      <w:r>
        <w:br w:type="page"/>
      </w:r>
    </w:p>
    <w:p w14:paraId="107CDFCE">
      <w:pPr>
        <w:pStyle w:val="7"/>
        <w:spacing w:beforeAutospacing="0" w:afterAutospacing="0" w:line="360" w:lineRule="auto"/>
        <w:ind w:firstLine="640"/>
        <w:jc w:val="left"/>
        <w:outlineLvl w:val="0"/>
        <w:rPr>
          <w:rStyle w:val="10"/>
          <w:rFonts w:hAnsi="仿宋_GB2312" w:cs="仿宋_GB2312"/>
          <w:sz w:val="32"/>
          <w:szCs w:val="32"/>
        </w:rPr>
      </w:pPr>
      <w:r>
        <w:rPr>
          <w:rStyle w:val="10"/>
          <w:rFonts w:hint="eastAsia" w:ascii="黑体" w:hAnsi="黑体" w:eastAsia="黑体" w:cs="仿宋_GB2312"/>
          <w:b w:val="0"/>
          <w:bCs/>
          <w:sz w:val="32"/>
          <w:szCs w:val="32"/>
        </w:rPr>
        <w:t>附件</w:t>
      </w:r>
      <w:r>
        <w:rPr>
          <w:rStyle w:val="10"/>
          <w:rFonts w:ascii="黑体" w:hAnsi="黑体" w:eastAsia="黑体" w:cs="仿宋_GB2312"/>
          <w:b w:val="0"/>
          <w:bCs/>
          <w:sz w:val="32"/>
          <w:szCs w:val="32"/>
        </w:rPr>
        <w:t>2</w:t>
      </w:r>
      <w:r>
        <w:rPr>
          <w:rStyle w:val="10"/>
          <w:rFonts w:hAnsi="仿宋_GB2312" w:cs="仿宋_GB2312"/>
          <w:sz w:val="32"/>
          <w:szCs w:val="32"/>
        </w:rPr>
        <w:t xml:space="preserve"> </w:t>
      </w:r>
    </w:p>
    <w:p w14:paraId="62C4A1EA">
      <w:pPr>
        <w:pStyle w:val="7"/>
        <w:spacing w:beforeAutospacing="0" w:afterAutospacing="0" w:line="360" w:lineRule="auto"/>
        <w:outlineLvl w:val="0"/>
        <w:rPr>
          <w:rFonts w:ascii="方正小标宋_GBK" w:hAnsi="仿宋_GB2312" w:eastAsia="方正小标宋_GBK"/>
          <w:bCs/>
          <w:sz w:val="44"/>
          <w:szCs w:val="44"/>
        </w:rPr>
      </w:pPr>
      <w:r>
        <w:rPr>
          <w:rFonts w:hint="eastAsia" w:ascii="方正小标宋_GBK" w:hAnsi="仿宋_GB2312" w:eastAsia="方正小标宋_GBK"/>
          <w:bCs/>
          <w:sz w:val="44"/>
          <w:szCs w:val="44"/>
        </w:rPr>
        <w:t>上海市业余中继台区域规划（参考）</w:t>
      </w:r>
    </w:p>
    <w:p w14:paraId="5BDD72EE">
      <w:pPr>
        <w:ind w:firstLine="640" w:firstLineChars="200"/>
        <w:jc w:val="both"/>
        <w:rPr>
          <w:rFonts w:hAnsi="楷体"/>
          <w:sz w:val="32"/>
          <w:szCs w:val="32"/>
        </w:rPr>
      </w:pPr>
      <w:r>
        <w:rPr>
          <w:rFonts w:hint="eastAsia" w:hAnsi="楷体"/>
          <w:sz w:val="32"/>
          <w:szCs w:val="32"/>
        </w:rPr>
        <w:t>上海市</w:t>
      </w:r>
      <w:r>
        <w:rPr>
          <w:rFonts w:hAnsi="楷体"/>
          <w:sz w:val="32"/>
          <w:szCs w:val="32"/>
        </w:rPr>
        <w:t>业余中继台站址规划(</w:t>
      </w:r>
      <w:r>
        <w:rPr>
          <w:rFonts w:hint="eastAsia" w:hAnsi="楷体"/>
          <w:sz w:val="32"/>
          <w:szCs w:val="32"/>
        </w:rPr>
        <w:t>参考)示意图如下所示，共划分为1</w:t>
      </w:r>
      <w:r>
        <w:rPr>
          <w:rFonts w:hAnsi="楷体"/>
          <w:sz w:val="32"/>
          <w:szCs w:val="32"/>
        </w:rPr>
        <w:t>3</w:t>
      </w:r>
      <w:r>
        <w:rPr>
          <w:rFonts w:hint="eastAsia" w:hAnsi="楷体"/>
          <w:sz w:val="32"/>
          <w:szCs w:val="32"/>
        </w:rPr>
        <w:t>个区域。</w:t>
      </w:r>
    </w:p>
    <w:p w14:paraId="598F0ED1">
      <w:pPr>
        <w:rPr>
          <w:rFonts w:hAnsi="楷体"/>
          <w:sz w:val="32"/>
          <w:szCs w:val="32"/>
        </w:rPr>
      </w:pPr>
      <w:r>
        <w:rPr>
          <w:rFonts w:hAnsi="楷体"/>
          <w:sz w:val="32"/>
          <w:szCs w:val="32"/>
        </w:rPr>
        <w:drawing>
          <wp:inline distT="0" distB="0" distL="0" distR="0">
            <wp:extent cx="4269740" cy="673862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3357" cy="6760397"/>
                    </a:xfrm>
                    <a:prstGeom prst="rect">
                      <a:avLst/>
                    </a:prstGeom>
                    <a:noFill/>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方正小标宋_GBK">
    <w:altName w:val="Arial Unicode MS"/>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KSOF51D5AD36">
    <w:panose1 w:val="020B0604020202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5327785"/>
      <w:docPartObj>
        <w:docPartGallery w:val="AutoText"/>
      </w:docPartObj>
    </w:sdtPr>
    <w:sdtContent>
      <w:p w14:paraId="66EF7E84">
        <w:pPr>
          <w:pStyle w:val="5"/>
        </w:pPr>
        <w:r>
          <w:fldChar w:fldCharType="begin"/>
        </w:r>
        <w:r>
          <w:instrText xml:space="preserve">PAGE   \* MERGEFORMAT</w:instrText>
        </w:r>
        <w:r>
          <w:fldChar w:fldCharType="separate"/>
        </w:r>
        <w:r>
          <w:rPr>
            <w:lang w:val="zh-CN"/>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97A67">
    <w:pPr>
      <w:pStyle w:val="5"/>
    </w:pPr>
    <w:r>
      <mc:AlternateContent>
        <mc:Choice Requires="wps">
          <w:drawing>
            <wp:anchor distT="0" distB="0" distL="114300" distR="114300" simplePos="0" relativeHeight="251659264" behindDoc="0" locked="0" layoutInCell="1" allowOverlap="1">
              <wp:simplePos x="0" y="0"/>
              <wp:positionH relativeFrom="margin">
                <wp:posOffset>3128645</wp:posOffset>
              </wp:positionH>
              <wp:positionV relativeFrom="paragraph">
                <wp:posOffset>-1905</wp:posOffset>
              </wp:positionV>
              <wp:extent cx="666750" cy="2476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667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CFA9E">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46.35pt;margin-top:-0.15pt;height:19.5pt;width:52.5pt;mso-position-horizontal-relative:margin;z-index:251659264;mso-width-relative:page;mso-height-relative:page;" filled="f" stroked="f" coordsize="21600,21600" o:gfxdata="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fUlg2AAAAAgBAAAPAAAAAAAAAAEAIAAAACIAAABkcnMvZG93bnJldi54bWxQSwEC&#10;FAAUAAAACACHTuJApkZjEC0CAABVBAAADgAAAAAAAAABACAAAAAnAQAAZHJzL2Uyb0RvYy54bWxQ&#10;SwUGAAAAAAYABgBZAQAAxgUAAAAA&#10;">
              <v:fill on="f" focussize="0,0"/>
              <v:stroke on="f" weight="0.5pt"/>
              <v:imagedata o:title=""/>
              <o:lock v:ext="edit" aspectratio="f"/>
              <v:textbox inset="0mm,0mm,0mm,0mm">
                <w:txbxContent>
                  <w:p w14:paraId="20FCFA9E">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DF497F"/>
    <w:multiLevelType w:val="multilevel"/>
    <w:tmpl w:val="2FDF497F"/>
    <w:lvl w:ilvl="0" w:tentative="0">
      <w:start w:val="1"/>
      <w:numFmt w:val="chineseCountingThousand"/>
      <w:suff w:val="nothing"/>
      <w:lvlText w:val="（%1）"/>
      <w:lvlJc w:val="left"/>
      <w:pPr>
        <w:ind w:left="1292"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317D40BB"/>
    <w:multiLevelType w:val="multilevel"/>
    <w:tmpl w:val="317D40BB"/>
    <w:lvl w:ilvl="0" w:tentative="0">
      <w:start w:val="1"/>
      <w:numFmt w:val="chineseCountingThousand"/>
      <w:suff w:val="nothing"/>
      <w:lvlText w:val="（%1）"/>
      <w:lvlJc w:val="left"/>
      <w:pPr>
        <w:ind w:left="3701"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69B21ABA"/>
    <w:multiLevelType w:val="multilevel"/>
    <w:tmpl w:val="69B21ABA"/>
    <w:lvl w:ilvl="0" w:tentative="0">
      <w:start w:val="1"/>
      <w:numFmt w:val="chineseCountingThousand"/>
      <w:suff w:val="nothing"/>
      <w:lvlText w:val="（%1）"/>
      <w:lvlJc w:val="left"/>
      <w:pPr>
        <w:ind w:left="1292"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50D"/>
    <w:rsid w:val="000049F7"/>
    <w:rsid w:val="000131F1"/>
    <w:rsid w:val="00013C0A"/>
    <w:rsid w:val="000166A0"/>
    <w:rsid w:val="0002228E"/>
    <w:rsid w:val="00026C10"/>
    <w:rsid w:val="00032564"/>
    <w:rsid w:val="00037731"/>
    <w:rsid w:val="000412A7"/>
    <w:rsid w:val="0005047E"/>
    <w:rsid w:val="000529F3"/>
    <w:rsid w:val="0006136C"/>
    <w:rsid w:val="00064F5F"/>
    <w:rsid w:val="00072A54"/>
    <w:rsid w:val="000908B8"/>
    <w:rsid w:val="000B0312"/>
    <w:rsid w:val="000B6232"/>
    <w:rsid w:val="000C6483"/>
    <w:rsid w:val="000C6EF8"/>
    <w:rsid w:val="000D1586"/>
    <w:rsid w:val="000E6099"/>
    <w:rsid w:val="000F1454"/>
    <w:rsid w:val="000F1B95"/>
    <w:rsid w:val="00122E63"/>
    <w:rsid w:val="00122FDE"/>
    <w:rsid w:val="00125135"/>
    <w:rsid w:val="00133F88"/>
    <w:rsid w:val="00137605"/>
    <w:rsid w:val="0014406A"/>
    <w:rsid w:val="001466E4"/>
    <w:rsid w:val="00190F64"/>
    <w:rsid w:val="00193F0C"/>
    <w:rsid w:val="00195317"/>
    <w:rsid w:val="0019767A"/>
    <w:rsid w:val="001A3111"/>
    <w:rsid w:val="001A5B92"/>
    <w:rsid w:val="001A612D"/>
    <w:rsid w:val="001C1277"/>
    <w:rsid w:val="001C1788"/>
    <w:rsid w:val="001D0ABE"/>
    <w:rsid w:val="001E612A"/>
    <w:rsid w:val="002275C1"/>
    <w:rsid w:val="00230EC0"/>
    <w:rsid w:val="002313C5"/>
    <w:rsid w:val="0023556D"/>
    <w:rsid w:val="0023626B"/>
    <w:rsid w:val="0024159D"/>
    <w:rsid w:val="002474E7"/>
    <w:rsid w:val="00252DDD"/>
    <w:rsid w:val="00274C5D"/>
    <w:rsid w:val="00297EA1"/>
    <w:rsid w:val="002A6C6E"/>
    <w:rsid w:val="002A78E5"/>
    <w:rsid w:val="002C32FA"/>
    <w:rsid w:val="002D609E"/>
    <w:rsid w:val="002F276A"/>
    <w:rsid w:val="00300018"/>
    <w:rsid w:val="00303BA3"/>
    <w:rsid w:val="0030515F"/>
    <w:rsid w:val="0030795A"/>
    <w:rsid w:val="00310003"/>
    <w:rsid w:val="003216E9"/>
    <w:rsid w:val="00333D7A"/>
    <w:rsid w:val="00335918"/>
    <w:rsid w:val="00336FDA"/>
    <w:rsid w:val="0035145B"/>
    <w:rsid w:val="003560EE"/>
    <w:rsid w:val="003578CA"/>
    <w:rsid w:val="00372E27"/>
    <w:rsid w:val="00373997"/>
    <w:rsid w:val="003814F9"/>
    <w:rsid w:val="0038768E"/>
    <w:rsid w:val="003A0EAA"/>
    <w:rsid w:val="003B31F9"/>
    <w:rsid w:val="003B76C2"/>
    <w:rsid w:val="003B7FFA"/>
    <w:rsid w:val="003C1190"/>
    <w:rsid w:val="003E25FF"/>
    <w:rsid w:val="003E45C8"/>
    <w:rsid w:val="003E5B48"/>
    <w:rsid w:val="00411F88"/>
    <w:rsid w:val="00425C7A"/>
    <w:rsid w:val="00430143"/>
    <w:rsid w:val="00432F60"/>
    <w:rsid w:val="004344BF"/>
    <w:rsid w:val="004364E9"/>
    <w:rsid w:val="00452FF8"/>
    <w:rsid w:val="00473FC6"/>
    <w:rsid w:val="004740E6"/>
    <w:rsid w:val="004B2146"/>
    <w:rsid w:val="004E3D56"/>
    <w:rsid w:val="00513550"/>
    <w:rsid w:val="00521641"/>
    <w:rsid w:val="00522B96"/>
    <w:rsid w:val="00541CCE"/>
    <w:rsid w:val="00544889"/>
    <w:rsid w:val="00547CAA"/>
    <w:rsid w:val="00554F74"/>
    <w:rsid w:val="00575FAA"/>
    <w:rsid w:val="005A0003"/>
    <w:rsid w:val="005A503C"/>
    <w:rsid w:val="005A789B"/>
    <w:rsid w:val="005B3B56"/>
    <w:rsid w:val="005C128C"/>
    <w:rsid w:val="005C3DAC"/>
    <w:rsid w:val="005F711B"/>
    <w:rsid w:val="00630EB4"/>
    <w:rsid w:val="006325F5"/>
    <w:rsid w:val="00645036"/>
    <w:rsid w:val="00646480"/>
    <w:rsid w:val="00650970"/>
    <w:rsid w:val="006543B8"/>
    <w:rsid w:val="00664AA5"/>
    <w:rsid w:val="00675B09"/>
    <w:rsid w:val="006B098D"/>
    <w:rsid w:val="006B2234"/>
    <w:rsid w:val="006B33D8"/>
    <w:rsid w:val="006C128E"/>
    <w:rsid w:val="006E1C94"/>
    <w:rsid w:val="006E218C"/>
    <w:rsid w:val="006E2552"/>
    <w:rsid w:val="006E2554"/>
    <w:rsid w:val="006E49A3"/>
    <w:rsid w:val="006E5BAA"/>
    <w:rsid w:val="006F41B7"/>
    <w:rsid w:val="00704A41"/>
    <w:rsid w:val="00710D03"/>
    <w:rsid w:val="00713145"/>
    <w:rsid w:val="0071395F"/>
    <w:rsid w:val="0072043D"/>
    <w:rsid w:val="00723738"/>
    <w:rsid w:val="007364D5"/>
    <w:rsid w:val="0074550D"/>
    <w:rsid w:val="007529CA"/>
    <w:rsid w:val="00762D38"/>
    <w:rsid w:val="00782170"/>
    <w:rsid w:val="00786522"/>
    <w:rsid w:val="0078742A"/>
    <w:rsid w:val="007B0C85"/>
    <w:rsid w:val="007B20AD"/>
    <w:rsid w:val="007C20EE"/>
    <w:rsid w:val="007D244A"/>
    <w:rsid w:val="007E2DAC"/>
    <w:rsid w:val="007E6034"/>
    <w:rsid w:val="007F5762"/>
    <w:rsid w:val="008138EB"/>
    <w:rsid w:val="0082291B"/>
    <w:rsid w:val="00824B85"/>
    <w:rsid w:val="00825DCB"/>
    <w:rsid w:val="00853AAC"/>
    <w:rsid w:val="00860CD4"/>
    <w:rsid w:val="00865453"/>
    <w:rsid w:val="00872795"/>
    <w:rsid w:val="00877035"/>
    <w:rsid w:val="008837A1"/>
    <w:rsid w:val="0088404D"/>
    <w:rsid w:val="008C0786"/>
    <w:rsid w:val="008D4438"/>
    <w:rsid w:val="008E3182"/>
    <w:rsid w:val="008E5971"/>
    <w:rsid w:val="008E5ECF"/>
    <w:rsid w:val="008F3125"/>
    <w:rsid w:val="0092403D"/>
    <w:rsid w:val="00962EE7"/>
    <w:rsid w:val="009706CB"/>
    <w:rsid w:val="009A7484"/>
    <w:rsid w:val="009B1561"/>
    <w:rsid w:val="009B5B2D"/>
    <w:rsid w:val="009B7767"/>
    <w:rsid w:val="009C1912"/>
    <w:rsid w:val="009C1C1C"/>
    <w:rsid w:val="009E4007"/>
    <w:rsid w:val="009E5C0F"/>
    <w:rsid w:val="009F78D9"/>
    <w:rsid w:val="009F7CB8"/>
    <w:rsid w:val="00A04DF5"/>
    <w:rsid w:val="00A15536"/>
    <w:rsid w:val="00A16CD9"/>
    <w:rsid w:val="00A3018A"/>
    <w:rsid w:val="00A33876"/>
    <w:rsid w:val="00A37262"/>
    <w:rsid w:val="00A53E91"/>
    <w:rsid w:val="00A5756E"/>
    <w:rsid w:val="00A67FD1"/>
    <w:rsid w:val="00A81345"/>
    <w:rsid w:val="00A95725"/>
    <w:rsid w:val="00A96736"/>
    <w:rsid w:val="00AA181A"/>
    <w:rsid w:val="00AA3DD3"/>
    <w:rsid w:val="00AA5766"/>
    <w:rsid w:val="00AA63C7"/>
    <w:rsid w:val="00AB3D2F"/>
    <w:rsid w:val="00AD6E1A"/>
    <w:rsid w:val="00AE3D22"/>
    <w:rsid w:val="00AE7AC4"/>
    <w:rsid w:val="00B064DD"/>
    <w:rsid w:val="00B10FA2"/>
    <w:rsid w:val="00B336A6"/>
    <w:rsid w:val="00B501AC"/>
    <w:rsid w:val="00B51078"/>
    <w:rsid w:val="00B53E34"/>
    <w:rsid w:val="00B54845"/>
    <w:rsid w:val="00B6210B"/>
    <w:rsid w:val="00B62ACC"/>
    <w:rsid w:val="00B63905"/>
    <w:rsid w:val="00B81A25"/>
    <w:rsid w:val="00B84B7B"/>
    <w:rsid w:val="00BA140E"/>
    <w:rsid w:val="00BA18AF"/>
    <w:rsid w:val="00BA3A04"/>
    <w:rsid w:val="00BD57B4"/>
    <w:rsid w:val="00BE1127"/>
    <w:rsid w:val="00BE24CD"/>
    <w:rsid w:val="00BE5840"/>
    <w:rsid w:val="00BF1AC6"/>
    <w:rsid w:val="00C25A41"/>
    <w:rsid w:val="00C4485F"/>
    <w:rsid w:val="00C52804"/>
    <w:rsid w:val="00C53039"/>
    <w:rsid w:val="00C71D2F"/>
    <w:rsid w:val="00C8242E"/>
    <w:rsid w:val="00C9494B"/>
    <w:rsid w:val="00C97303"/>
    <w:rsid w:val="00C97B70"/>
    <w:rsid w:val="00CA6D00"/>
    <w:rsid w:val="00CA7298"/>
    <w:rsid w:val="00CB149C"/>
    <w:rsid w:val="00CC3CD8"/>
    <w:rsid w:val="00CD351D"/>
    <w:rsid w:val="00CD51E6"/>
    <w:rsid w:val="00CD5B88"/>
    <w:rsid w:val="00CE1E40"/>
    <w:rsid w:val="00CE3DCF"/>
    <w:rsid w:val="00CF2CEE"/>
    <w:rsid w:val="00CF300C"/>
    <w:rsid w:val="00D00595"/>
    <w:rsid w:val="00D14134"/>
    <w:rsid w:val="00D36517"/>
    <w:rsid w:val="00D413DC"/>
    <w:rsid w:val="00D6743B"/>
    <w:rsid w:val="00D76033"/>
    <w:rsid w:val="00D8357C"/>
    <w:rsid w:val="00D90F36"/>
    <w:rsid w:val="00DA4FD3"/>
    <w:rsid w:val="00DB357D"/>
    <w:rsid w:val="00DC0A03"/>
    <w:rsid w:val="00DD0108"/>
    <w:rsid w:val="00DE135B"/>
    <w:rsid w:val="00DF1615"/>
    <w:rsid w:val="00E06FE5"/>
    <w:rsid w:val="00E16946"/>
    <w:rsid w:val="00E25F0E"/>
    <w:rsid w:val="00E3480B"/>
    <w:rsid w:val="00E430DC"/>
    <w:rsid w:val="00E46EDB"/>
    <w:rsid w:val="00E85608"/>
    <w:rsid w:val="00EA35FF"/>
    <w:rsid w:val="00EA5950"/>
    <w:rsid w:val="00EA767F"/>
    <w:rsid w:val="00EB2668"/>
    <w:rsid w:val="00EC300A"/>
    <w:rsid w:val="00EC3C00"/>
    <w:rsid w:val="00ED1CA6"/>
    <w:rsid w:val="00ED20D3"/>
    <w:rsid w:val="00EE6EE1"/>
    <w:rsid w:val="00EF373A"/>
    <w:rsid w:val="00F246EC"/>
    <w:rsid w:val="00F25821"/>
    <w:rsid w:val="00F43D8E"/>
    <w:rsid w:val="00F46BC4"/>
    <w:rsid w:val="00F5171C"/>
    <w:rsid w:val="00F65CD3"/>
    <w:rsid w:val="00FA5CCE"/>
    <w:rsid w:val="00FC407D"/>
    <w:rsid w:val="00FF679E"/>
    <w:rsid w:val="3DCE6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center"/>
    </w:pPr>
    <w:rPr>
      <w:rFonts w:ascii="仿宋_GB2312" w:hAnsi="宋体" w:eastAsia="仿宋_GB2312" w:cs="宋体"/>
      <w:kern w:val="0"/>
      <w:sz w:val="21"/>
      <w:szCs w:val="21"/>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sz w:val="18"/>
      <w:szCs w:val="18"/>
    </w:rPr>
  </w:style>
  <w:style w:type="paragraph" w:styleId="5">
    <w:name w:val="footer"/>
    <w:basedOn w:val="1"/>
    <w:link w:val="11"/>
    <w:qFormat/>
    <w:uiPriority w:val="99"/>
    <w:pPr>
      <w:tabs>
        <w:tab w:val="center" w:pos="4153"/>
        <w:tab w:val="right" w:pos="8306"/>
      </w:tabs>
      <w:snapToGrid w:val="0"/>
    </w:pPr>
    <w:rPr>
      <w:sz w:val="18"/>
    </w:rPr>
  </w:style>
  <w:style w:type="paragraph" w:styleId="6">
    <w:name w:val="header"/>
    <w:basedOn w:val="1"/>
    <w:link w:val="12"/>
    <w:unhideWhenUsed/>
    <w:qFormat/>
    <w:uiPriority w:val="99"/>
    <w:pPr>
      <w:tabs>
        <w:tab w:val="center" w:pos="4153"/>
        <w:tab w:val="right" w:pos="8306"/>
      </w:tabs>
      <w:snapToGrid w:val="0"/>
    </w:pPr>
    <w:rPr>
      <w:sz w:val="18"/>
      <w:szCs w:val="18"/>
    </w:rPr>
  </w:style>
  <w:style w:type="paragraph" w:styleId="7">
    <w:name w:val="Normal (Web)"/>
    <w:basedOn w:val="1"/>
    <w:qFormat/>
    <w:uiPriority w:val="0"/>
    <w:pPr>
      <w:spacing w:beforeAutospacing="1" w:afterAutospacing="1"/>
    </w:pPr>
    <w:rPr>
      <w:rFonts w:cs="Times New Roman"/>
      <w:sz w:val="24"/>
    </w:rPr>
  </w:style>
  <w:style w:type="character" w:styleId="10">
    <w:name w:val="Strong"/>
    <w:basedOn w:val="9"/>
    <w:qFormat/>
    <w:uiPriority w:val="0"/>
    <w:rPr>
      <w:b/>
    </w:rPr>
  </w:style>
  <w:style w:type="character" w:customStyle="1" w:styleId="11">
    <w:name w:val="页脚 字符"/>
    <w:basedOn w:val="9"/>
    <w:link w:val="5"/>
    <w:qFormat/>
    <w:uiPriority w:val="99"/>
    <w:rPr>
      <w:rFonts w:ascii="仿宋_GB2312" w:hAnsi="宋体" w:eastAsia="仿宋_GB2312" w:cs="宋体"/>
      <w:kern w:val="0"/>
      <w:sz w:val="18"/>
      <w:szCs w:val="21"/>
    </w:rPr>
  </w:style>
  <w:style w:type="character" w:customStyle="1" w:styleId="12">
    <w:name w:val="页眉 字符"/>
    <w:basedOn w:val="9"/>
    <w:link w:val="6"/>
    <w:qFormat/>
    <w:uiPriority w:val="99"/>
    <w:rPr>
      <w:rFonts w:ascii="仿宋_GB2312" w:hAnsi="宋体" w:eastAsia="仿宋_GB2312" w:cs="宋体"/>
      <w:kern w:val="0"/>
      <w:sz w:val="18"/>
      <w:szCs w:val="18"/>
    </w:rPr>
  </w:style>
  <w:style w:type="character" w:customStyle="1" w:styleId="13">
    <w:name w:val="标题 1 字符"/>
    <w:basedOn w:val="9"/>
    <w:link w:val="2"/>
    <w:qFormat/>
    <w:uiPriority w:val="9"/>
    <w:rPr>
      <w:rFonts w:ascii="仿宋_GB2312" w:hAnsi="宋体" w:eastAsia="仿宋_GB2312" w:cs="宋体"/>
      <w:b/>
      <w:bCs/>
      <w:kern w:val="44"/>
      <w:sz w:val="44"/>
      <w:szCs w:val="44"/>
    </w:rPr>
  </w:style>
  <w:style w:type="paragraph" w:customStyle="1" w:styleId="14">
    <w:name w:val="Revision"/>
    <w:hidden/>
    <w:semiHidden/>
    <w:qFormat/>
    <w:uiPriority w:val="99"/>
    <w:rPr>
      <w:rFonts w:ascii="仿宋_GB2312" w:hAnsi="宋体" w:eastAsia="仿宋_GB2312" w:cs="宋体"/>
      <w:kern w:val="0"/>
      <w:sz w:val="21"/>
      <w:szCs w:val="21"/>
      <w:lang w:val="en-US" w:eastAsia="zh-CN" w:bidi="ar-SA"/>
    </w:rPr>
  </w:style>
  <w:style w:type="character" w:customStyle="1" w:styleId="15">
    <w:name w:val="批注框文本 字符"/>
    <w:basedOn w:val="9"/>
    <w:link w:val="4"/>
    <w:semiHidden/>
    <w:qFormat/>
    <w:uiPriority w:val="99"/>
    <w:rPr>
      <w:rFonts w:ascii="仿宋_GB2312" w:hAnsi="宋体" w:eastAsia="仿宋_GB2312" w:cs="宋体"/>
      <w:kern w:val="0"/>
      <w:sz w:val="18"/>
      <w:szCs w:val="18"/>
    </w:rPr>
  </w:style>
  <w:style w:type="character" w:customStyle="1" w:styleId="16">
    <w:name w:val="标题 2 字符"/>
    <w:basedOn w:val="9"/>
    <w:link w:val="3"/>
    <w:semiHidden/>
    <w:qFormat/>
    <w:uiPriority w:val="9"/>
    <w:rPr>
      <w:rFonts w:asciiTheme="majorHAnsi" w:hAnsiTheme="majorHAnsi" w:eastAsiaTheme="majorEastAsia" w:cstheme="majorBidi"/>
      <w:b/>
      <w:bCs/>
      <w:kern w:val="0"/>
      <w:sz w:val="32"/>
      <w:szCs w:val="32"/>
    </w:rPr>
  </w:style>
  <w:style w:type="paragraph" w:customStyle="1" w:styleId="17">
    <w:name w:val="正文缩进(ALT+Z)"/>
    <w:basedOn w:val="1"/>
    <w:link w:val="18"/>
    <w:qFormat/>
    <w:uiPriority w:val="0"/>
    <w:pPr>
      <w:widowControl w:val="0"/>
      <w:spacing w:line="360" w:lineRule="auto"/>
      <w:ind w:firstLine="200" w:firstLineChars="200"/>
      <w:jc w:val="both"/>
    </w:pPr>
    <w:rPr>
      <w:rFonts w:ascii="Tahoma" w:hAnsi="Tahoma" w:eastAsia="宋体" w:cs="Times New Roman"/>
      <w:kern w:val="2"/>
      <w:sz w:val="24"/>
      <w:szCs w:val="24"/>
    </w:rPr>
  </w:style>
  <w:style w:type="character" w:customStyle="1" w:styleId="18">
    <w:name w:val="正文缩进(ALT+Z) Char"/>
    <w:link w:val="17"/>
    <w:qFormat/>
    <w:uiPriority w:val="0"/>
    <w:rPr>
      <w:rFonts w:ascii="Tahoma" w:hAnsi="Tahoma"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3404</Words>
  <Characters>3711</Characters>
  <Lines>27</Lines>
  <Paragraphs>7</Paragraphs>
  <TotalTime>469</TotalTime>
  <ScaleCrop>false</ScaleCrop>
  <LinksUpToDate>false</LinksUpToDate>
  <CharactersWithSpaces>3717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2026-05-20T05:37:00Z</dcterms:created>
  <dc:creator>Y Y</dc:creator>
  <cp:lastModifiedBy>娟娟</cp:lastModifiedBy>
  <dcterms:modified xsi:type="dcterms:W3CDTF">2026-06-18T01:59:55Z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eyJoZGlkIjoiNmViOTViYjI0Mjk4MWZiNTNjYjcyOGRhNjQxMWNhYzIiLCJ1c2VySWQiOiI0NDUzNjQ4MjMifQ==</vt:lpwstr>
  </property>
  <property fmtid="{D5CDD505-2E9C-101B-9397-08002B2CF9AE}" pid="3" name="KSOProductBuildVer">
    <vt:lpwstr>2052-12.1.0.26895</vt:lpwstr>
  </property>
  <property fmtid="{D5CDD505-2E9C-101B-9397-08002B2CF9AE}" pid="4" name="ICV">
    <vt:lpwstr>2CB574684EC0421D9C9E3B393181D322_12</vt:lpwstr>
  </property>
</Properties>
</file>